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E79F5" w14:textId="77777777" w:rsidR="003E40A5" w:rsidRPr="00157399" w:rsidRDefault="003E40A5" w:rsidP="003E40A5">
      <w:pPr>
        <w:pStyle w:val="BasicParagraph"/>
        <w:bidi w:val="0"/>
        <w:spacing w:line="360" w:lineRule="auto"/>
        <w:ind w:right="283"/>
        <w:rPr>
          <w:rFonts w:asciiTheme="minorHAnsi" w:hAnsiTheme="minorHAnsi" w:cstheme="minorHAnsi"/>
          <w:color w:val="262626" w:themeColor="text1" w:themeTint="D9"/>
          <w:spacing w:val="10"/>
          <w:sz w:val="20"/>
          <w:szCs w:val="20"/>
          <w:vertAlign w:val="subscript"/>
        </w:rPr>
      </w:pPr>
    </w:p>
    <w:p w14:paraId="78C963F9" w14:textId="77777777" w:rsidR="003E40A5" w:rsidRPr="00157399" w:rsidRDefault="003E40A5" w:rsidP="003E40A5">
      <w:pPr>
        <w:bidi/>
        <w:rPr>
          <w:rFonts w:asciiTheme="minorHAnsi" w:hAnsiTheme="minorHAnsi" w:cstheme="minorHAnsi"/>
          <w:rtl/>
        </w:rPr>
      </w:pPr>
      <w:r w:rsidRPr="00157399">
        <w:rPr>
          <w:rFonts w:asciiTheme="minorHAnsi" w:hAnsiTheme="minorHAnsi" w:cstheme="minorHAnsi"/>
        </w:rPr>
        <w:tab/>
      </w:r>
      <w:r w:rsidRPr="00157399">
        <w:rPr>
          <w:rFonts w:asciiTheme="minorHAnsi" w:hAnsiTheme="minorHAnsi" w:cstheme="minorHAnsi"/>
        </w:rPr>
        <w:tab/>
      </w:r>
      <w:r w:rsidRPr="00157399">
        <w:rPr>
          <w:rFonts w:asciiTheme="minorHAnsi" w:hAnsiTheme="minorHAnsi" w:cstheme="minorHAnsi"/>
        </w:rPr>
        <w:tab/>
      </w:r>
      <w:r w:rsidRPr="00157399">
        <w:rPr>
          <w:rFonts w:asciiTheme="minorHAnsi" w:hAnsiTheme="minorHAnsi" w:cstheme="minorHAnsi"/>
        </w:rPr>
        <w:tab/>
      </w:r>
      <w:r w:rsidRPr="00157399">
        <w:rPr>
          <w:rFonts w:asciiTheme="minorHAnsi" w:hAnsiTheme="minorHAnsi" w:cstheme="minorHAnsi"/>
        </w:rPr>
        <w:tab/>
      </w:r>
      <w:r w:rsidRPr="00157399">
        <w:rPr>
          <w:rFonts w:asciiTheme="minorHAnsi" w:hAnsiTheme="minorHAnsi" w:cstheme="minorHAnsi"/>
        </w:rPr>
        <w:tab/>
      </w:r>
      <w:r w:rsidRPr="00157399">
        <w:rPr>
          <w:rFonts w:asciiTheme="minorHAnsi" w:hAnsiTheme="minorHAnsi" w:cstheme="minorHAnsi"/>
        </w:rPr>
        <w:tab/>
      </w:r>
      <w:r w:rsidRPr="00157399">
        <w:rPr>
          <w:rFonts w:asciiTheme="minorHAnsi" w:hAnsiTheme="minorHAnsi" w:cstheme="minorHAnsi"/>
        </w:rPr>
        <w:tab/>
      </w:r>
      <w:r w:rsidRPr="00157399">
        <w:rPr>
          <w:rFonts w:asciiTheme="minorHAnsi" w:hAnsiTheme="minorHAnsi" w:cstheme="minorHAnsi"/>
        </w:rPr>
        <w:tab/>
      </w:r>
      <w:r w:rsidRPr="00157399">
        <w:rPr>
          <w:rFonts w:asciiTheme="minorHAnsi" w:hAnsiTheme="minorHAnsi" w:cstheme="minorHAnsi"/>
        </w:rPr>
        <w:tab/>
      </w:r>
      <w:r w:rsidRPr="00157399">
        <w:rPr>
          <w:rFonts w:asciiTheme="minorHAnsi" w:hAnsiTheme="minorHAnsi" w:cstheme="minorHAnsi"/>
        </w:rPr>
        <w:tab/>
      </w:r>
      <w:r w:rsidRPr="00157399">
        <w:rPr>
          <w:rFonts w:asciiTheme="minorHAnsi" w:hAnsiTheme="minorHAnsi" w:cstheme="minorHAnsi"/>
          <w:rtl/>
        </w:rPr>
        <w:t>‏</w:t>
      </w:r>
      <w:r>
        <w:rPr>
          <w:rFonts w:asciiTheme="minorHAnsi" w:hAnsiTheme="minorHAnsi" w:cstheme="minorHAnsi"/>
        </w:rPr>
        <w:t>6</w:t>
      </w:r>
      <w:r w:rsidRPr="00157399">
        <w:rPr>
          <w:rFonts w:asciiTheme="minorHAnsi" w:hAnsiTheme="minorHAnsi" w:cstheme="minorHAnsi"/>
          <w:rtl/>
        </w:rPr>
        <w:t xml:space="preserve"> בינואר 2020</w:t>
      </w:r>
      <w:r w:rsidRPr="00157399">
        <w:rPr>
          <w:rFonts w:asciiTheme="minorHAnsi" w:hAnsiTheme="minorHAnsi" w:cstheme="minorHAnsi"/>
          <w:rtl/>
        </w:rPr>
        <w:br/>
      </w:r>
    </w:p>
    <w:p w14:paraId="610D3B98" w14:textId="77777777" w:rsidR="003E40A5" w:rsidRPr="00157399" w:rsidRDefault="003E40A5" w:rsidP="003E40A5">
      <w:pPr>
        <w:bidi/>
        <w:rPr>
          <w:rFonts w:asciiTheme="minorHAnsi" w:hAnsiTheme="minorHAnsi" w:cstheme="minorHAnsi"/>
          <w:rtl/>
        </w:rPr>
      </w:pPr>
      <w:r w:rsidRPr="00157399">
        <w:rPr>
          <w:rFonts w:asciiTheme="minorHAnsi" w:hAnsiTheme="minorHAnsi" w:cstheme="minorHAnsi"/>
          <w:rtl/>
        </w:rPr>
        <w:t>לכבוד</w:t>
      </w:r>
    </w:p>
    <w:p w14:paraId="53B42509" w14:textId="77777777" w:rsidR="003E40A5" w:rsidRPr="00157399" w:rsidRDefault="003E40A5" w:rsidP="003E40A5">
      <w:pPr>
        <w:bidi/>
        <w:rPr>
          <w:rFonts w:asciiTheme="minorHAnsi" w:hAnsiTheme="minorHAnsi" w:cstheme="minorHAnsi"/>
          <w:rtl/>
        </w:rPr>
      </w:pPr>
      <w:r w:rsidRPr="00157399">
        <w:rPr>
          <w:rFonts w:asciiTheme="minorHAnsi" w:hAnsiTheme="minorHAnsi" w:cstheme="minorHAnsi"/>
          <w:rtl/>
        </w:rPr>
        <w:t>גב׳ אסת</w:t>
      </w:r>
      <w:r w:rsidR="007436E5">
        <w:rPr>
          <w:rFonts w:asciiTheme="minorHAnsi" w:hAnsiTheme="minorHAnsi" w:cstheme="minorHAnsi" w:hint="cs"/>
          <w:rtl/>
        </w:rPr>
        <w:t>י</w:t>
      </w:r>
      <w:r w:rsidRPr="00157399">
        <w:rPr>
          <w:rFonts w:asciiTheme="minorHAnsi" w:hAnsiTheme="minorHAnsi" w:cstheme="minorHAnsi"/>
          <w:rtl/>
        </w:rPr>
        <w:t xml:space="preserve"> שלי</w:t>
      </w:r>
      <w:r w:rsidRPr="00157399">
        <w:rPr>
          <w:rFonts w:asciiTheme="minorHAnsi" w:hAnsiTheme="minorHAnsi" w:cstheme="minorHAnsi"/>
          <w:rtl/>
        </w:rPr>
        <w:br/>
        <w:t>מנהלת האגף לבריאות דיגיטלית</w:t>
      </w:r>
      <w:r w:rsidRPr="00157399">
        <w:rPr>
          <w:rFonts w:asciiTheme="minorHAnsi" w:hAnsiTheme="minorHAnsi" w:cstheme="minorHAnsi"/>
          <w:rtl/>
        </w:rPr>
        <w:br/>
      </w:r>
      <w:r w:rsidRPr="00157399">
        <w:rPr>
          <w:rFonts w:asciiTheme="minorHAnsi" w:hAnsiTheme="minorHAnsi" w:cstheme="minorHAnsi"/>
          <w:u w:val="single"/>
          <w:rtl/>
        </w:rPr>
        <w:t>משרד הבריאות</w:t>
      </w:r>
      <w:r w:rsidRPr="00157399">
        <w:rPr>
          <w:rFonts w:asciiTheme="minorHAnsi" w:hAnsiTheme="minorHAnsi" w:cstheme="minorHAnsi"/>
          <w:rtl/>
        </w:rPr>
        <w:tab/>
      </w:r>
      <w:r w:rsidRPr="00157399">
        <w:rPr>
          <w:rFonts w:asciiTheme="minorHAnsi" w:hAnsiTheme="minorHAnsi" w:cstheme="minorHAnsi"/>
          <w:rtl/>
        </w:rPr>
        <w:tab/>
      </w:r>
      <w:r w:rsidRPr="00157399">
        <w:rPr>
          <w:rFonts w:asciiTheme="minorHAnsi" w:hAnsiTheme="minorHAnsi" w:cstheme="minorHAnsi"/>
          <w:rtl/>
        </w:rPr>
        <w:tab/>
      </w:r>
      <w:r w:rsidRPr="00157399">
        <w:rPr>
          <w:rFonts w:asciiTheme="minorHAnsi" w:hAnsiTheme="minorHAnsi" w:cstheme="minorHAnsi"/>
          <w:rtl/>
        </w:rPr>
        <w:tab/>
      </w:r>
      <w:r w:rsidRPr="00157399">
        <w:rPr>
          <w:rFonts w:asciiTheme="minorHAnsi" w:hAnsiTheme="minorHAnsi" w:cstheme="minorHAnsi"/>
          <w:rtl/>
        </w:rPr>
        <w:tab/>
      </w:r>
      <w:r w:rsidRPr="00157399">
        <w:rPr>
          <w:rFonts w:asciiTheme="minorHAnsi" w:hAnsiTheme="minorHAnsi" w:cstheme="minorHAnsi"/>
          <w:rtl/>
        </w:rPr>
        <w:tab/>
      </w:r>
      <w:r w:rsidRPr="00157399">
        <w:rPr>
          <w:rFonts w:asciiTheme="minorHAnsi" w:hAnsiTheme="minorHAnsi" w:cstheme="minorHAnsi"/>
          <w:rtl/>
        </w:rPr>
        <w:tab/>
      </w:r>
      <w:r w:rsidRPr="00157399">
        <w:rPr>
          <w:rFonts w:asciiTheme="minorHAnsi" w:hAnsiTheme="minorHAnsi" w:cstheme="minorHAnsi"/>
          <w:rtl/>
        </w:rPr>
        <w:tab/>
      </w:r>
      <w:r w:rsidRPr="00157399">
        <w:rPr>
          <w:rFonts w:asciiTheme="minorHAnsi" w:hAnsiTheme="minorHAnsi" w:cstheme="minorHAnsi"/>
          <w:rtl/>
        </w:rPr>
        <w:tab/>
        <w:t xml:space="preserve">    </w:t>
      </w:r>
    </w:p>
    <w:p w14:paraId="40FDBCE9"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ג.נ,</w:t>
      </w:r>
    </w:p>
    <w:p w14:paraId="61450D09" w14:textId="77777777" w:rsidR="003E40A5" w:rsidRPr="00157399" w:rsidRDefault="003E40A5" w:rsidP="003E40A5">
      <w:pPr>
        <w:bidi/>
        <w:spacing w:before="240" w:after="240" w:line="320" w:lineRule="exact"/>
        <w:jc w:val="center"/>
        <w:rPr>
          <w:rFonts w:asciiTheme="minorHAnsi" w:hAnsiTheme="minorHAnsi" w:cstheme="minorHAnsi"/>
          <w:b/>
          <w:bCs/>
          <w:sz w:val="28"/>
          <w:szCs w:val="28"/>
          <w:rtl/>
        </w:rPr>
      </w:pPr>
      <w:r w:rsidRPr="00157399">
        <w:rPr>
          <w:rFonts w:asciiTheme="minorHAnsi" w:hAnsiTheme="minorHAnsi" w:cstheme="minorHAnsi"/>
          <w:b/>
          <w:bCs/>
          <w:sz w:val="28"/>
          <w:szCs w:val="28"/>
          <w:rtl/>
        </w:rPr>
        <w:t xml:space="preserve">הנדון: </w:t>
      </w:r>
      <w:r w:rsidRPr="00157399">
        <w:rPr>
          <w:rFonts w:asciiTheme="minorHAnsi" w:hAnsiTheme="minorHAnsi" w:cstheme="minorHAnsi"/>
          <w:b/>
          <w:bCs/>
          <w:sz w:val="28"/>
          <w:szCs w:val="28"/>
          <w:u w:val="single"/>
          <w:rtl/>
        </w:rPr>
        <w:t>מדיניות ממשלת ישראל בנושא שימוש מחקרי במידע בריאות</w:t>
      </w:r>
      <w:r w:rsidRPr="00157399">
        <w:rPr>
          <w:rFonts w:asciiTheme="minorHAnsi" w:hAnsiTheme="minorHAnsi" w:cstheme="minorHAnsi"/>
          <w:b/>
          <w:bCs/>
          <w:sz w:val="28"/>
          <w:szCs w:val="28"/>
          <w:rtl/>
        </w:rPr>
        <w:t xml:space="preserve"> </w:t>
      </w:r>
    </w:p>
    <w:p w14:paraId="3111FCAB" w14:textId="77777777" w:rsidR="003E40A5" w:rsidRPr="00157399" w:rsidRDefault="003E40A5" w:rsidP="003E40A5">
      <w:pPr>
        <w:pStyle w:val="ListParagraph"/>
        <w:numPr>
          <w:ilvl w:val="0"/>
          <w:numId w:val="9"/>
        </w:numPr>
        <w:bidi/>
        <w:spacing w:before="240" w:after="240" w:line="320" w:lineRule="exact"/>
        <w:jc w:val="both"/>
        <w:rPr>
          <w:rFonts w:cstheme="minorHAnsi"/>
          <w:b/>
          <w:bCs/>
          <w:sz w:val="28"/>
          <w:szCs w:val="28"/>
          <w:rtl/>
        </w:rPr>
      </w:pPr>
      <w:r w:rsidRPr="00157399">
        <w:rPr>
          <w:rFonts w:cstheme="minorHAnsi"/>
          <w:b/>
          <w:bCs/>
          <w:sz w:val="28"/>
          <w:szCs w:val="28"/>
          <w:rtl/>
          <w:lang w:bidi="he-IL"/>
        </w:rPr>
        <w:t>כללי</w:t>
      </w:r>
    </w:p>
    <w:p w14:paraId="1A170344"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אנו מתכבדים להגיש את עמדת המכון הישראלי למדיניות טכנולוגיה (להלן</w:t>
      </w:r>
      <w:r w:rsidR="0054553B">
        <w:rPr>
          <w:rFonts w:asciiTheme="minorHAnsi" w:hAnsiTheme="minorHAnsi" w:cstheme="minorHAnsi"/>
        </w:rPr>
        <w:t xml:space="preserve">- </w:t>
      </w:r>
      <w:r w:rsidRPr="00157399">
        <w:rPr>
          <w:rFonts w:asciiTheme="minorHAnsi" w:hAnsiTheme="minorHAnsi" w:cstheme="minorHAnsi"/>
          <w:rtl/>
        </w:rPr>
        <w:t xml:space="preserve"> המכון) לשימוע על תזכיר </w:t>
      </w:r>
      <w:r w:rsidRPr="00157399">
        <w:rPr>
          <w:rFonts w:asciiTheme="minorHAnsi" w:hAnsiTheme="minorHAnsi" w:cstheme="minorHAnsi"/>
          <w:b/>
          <w:bCs/>
          <w:rtl/>
        </w:rPr>
        <w:t xml:space="preserve">תקנות זכויות החולה (שימוש מחקרי במידע בריאות), התש"ף – 2019 </w:t>
      </w:r>
      <w:r w:rsidRPr="00157399">
        <w:rPr>
          <w:rFonts w:asciiTheme="minorHAnsi" w:hAnsiTheme="minorHAnsi" w:cstheme="minorHAnsi"/>
          <w:rtl/>
        </w:rPr>
        <w:t xml:space="preserve"> (להלן</w:t>
      </w:r>
      <w:r w:rsidR="0054553B">
        <w:rPr>
          <w:rFonts w:asciiTheme="minorHAnsi" w:hAnsiTheme="minorHAnsi" w:cstheme="minorHAnsi"/>
        </w:rPr>
        <w:t xml:space="preserve"> </w:t>
      </w:r>
      <w:r w:rsidR="0054553B">
        <w:rPr>
          <w:rFonts w:asciiTheme="minorHAnsi" w:hAnsiTheme="minorHAnsi" w:cstheme="minorHAnsi" w:hint="cs"/>
          <w:rtl/>
        </w:rPr>
        <w:t xml:space="preserve">- </w:t>
      </w:r>
      <w:r w:rsidRPr="00157399">
        <w:rPr>
          <w:rFonts w:asciiTheme="minorHAnsi" w:hAnsiTheme="minorHAnsi" w:cstheme="minorHAnsi"/>
          <w:rtl/>
        </w:rPr>
        <w:t>התקנות) וטיוטת חוזר ראש חטיבת רגולציה, בריאות דיגיטלית ומחשוב (להלן - החוזר) (ושניהם יחד</w:t>
      </w:r>
      <w:r w:rsidR="0054553B">
        <w:rPr>
          <w:rFonts w:asciiTheme="minorHAnsi" w:hAnsiTheme="minorHAnsi" w:cstheme="minorHAnsi" w:hint="cs"/>
          <w:rtl/>
        </w:rPr>
        <w:t xml:space="preserve"> -</w:t>
      </w:r>
      <w:r w:rsidRPr="00157399">
        <w:rPr>
          <w:rFonts w:asciiTheme="minorHAnsi" w:hAnsiTheme="minorHAnsi" w:cstheme="minorHAnsi"/>
          <w:rtl/>
        </w:rPr>
        <w:t xml:space="preserve"> ההסדר), הבאים לממש חלקים מהחלטת הממשלה </w:t>
      </w:r>
      <w:hyperlink r:id="rId8" w:history="1">
        <w:r w:rsidRPr="00157399">
          <w:rPr>
            <w:rStyle w:val="Hyperlink"/>
            <w:rFonts w:asciiTheme="minorHAnsi" w:hAnsiTheme="minorHAnsi" w:cstheme="minorHAnsi"/>
            <w:rtl/>
          </w:rPr>
          <w:t>3709</w:t>
        </w:r>
      </w:hyperlink>
      <w:r w:rsidRPr="00157399">
        <w:rPr>
          <w:rFonts w:asciiTheme="minorHAnsi" w:hAnsiTheme="minorHAnsi" w:cstheme="minorHAnsi"/>
          <w:rtl/>
        </w:rPr>
        <w:t xml:space="preserve"> על תכנית לאומית לבריאות דיגיטלית (להלן</w:t>
      </w:r>
      <w:r w:rsidR="0054553B">
        <w:rPr>
          <w:rFonts w:asciiTheme="minorHAnsi" w:hAnsiTheme="minorHAnsi" w:cstheme="minorHAnsi" w:hint="cs"/>
          <w:rtl/>
        </w:rPr>
        <w:t xml:space="preserve"> -</w:t>
      </w:r>
      <w:r w:rsidRPr="00157399">
        <w:rPr>
          <w:rFonts w:asciiTheme="minorHAnsi" w:hAnsiTheme="minorHAnsi" w:cstheme="minorHAnsi"/>
          <w:rtl/>
        </w:rPr>
        <w:t xml:space="preserve"> ההחלטה). </w:t>
      </w:r>
    </w:p>
    <w:p w14:paraId="7FE504B1"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 xml:space="preserve">מזה שנים שבמדינת ישראל עורכים מחקר במידע בריאות במסגרות שונות ובאופנים שונים, ונכון יהיה שעל התחום תחול מדיניות ממשלתית אחודה ועדכנית, המגלמת איזון בין זכויות יסוד של אנשים שהמחקר נערך על המידע שלהם לבין אינטרסים ציבוריים, כזו המותאמת גם להתפתחויות הבינלאומיות במחקרי המידע בתחום הבריאות.  </w:t>
      </w:r>
    </w:p>
    <w:p w14:paraId="0FF1F4F6" w14:textId="77777777" w:rsidR="003E40A5"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 xml:space="preserve">טיוטת התקנות מבקשת לקדם מטרה שלא ניתן להפריז בחשיבותה, והיא משותפת לממשלה וגופי הבריאות, למחקר האקדמי </w:t>
      </w:r>
      <w:r>
        <w:rPr>
          <w:rFonts w:asciiTheme="minorHAnsi" w:hAnsiTheme="minorHAnsi" w:cstheme="minorHAnsi" w:hint="cs"/>
          <w:rtl/>
        </w:rPr>
        <w:t>ו</w:t>
      </w:r>
      <w:r w:rsidRPr="00157399">
        <w:rPr>
          <w:rFonts w:asciiTheme="minorHAnsi" w:hAnsiTheme="minorHAnsi" w:cstheme="minorHAnsi"/>
          <w:rtl/>
        </w:rPr>
        <w:t>לתעשיית הבריאות הדיגיטלית</w:t>
      </w:r>
      <w:r>
        <w:rPr>
          <w:rFonts w:asciiTheme="minorHAnsi" w:hAnsiTheme="minorHAnsi" w:cstheme="minorHAnsi" w:hint="cs"/>
          <w:rtl/>
        </w:rPr>
        <w:t>, מטרה</w:t>
      </w:r>
      <w:r w:rsidRPr="00157399">
        <w:rPr>
          <w:rFonts w:asciiTheme="minorHAnsi" w:hAnsiTheme="minorHAnsi" w:cstheme="minorHAnsi"/>
          <w:rtl/>
        </w:rPr>
        <w:t xml:space="preserve"> </w:t>
      </w:r>
      <w:r>
        <w:rPr>
          <w:rFonts w:asciiTheme="minorHAnsi" w:hAnsiTheme="minorHAnsi" w:cstheme="minorHAnsi" w:hint="cs"/>
          <w:rtl/>
        </w:rPr>
        <w:t>ה</w:t>
      </w:r>
      <w:r w:rsidRPr="00157399">
        <w:rPr>
          <w:rFonts w:asciiTheme="minorHAnsi" w:hAnsiTheme="minorHAnsi" w:cstheme="minorHAnsi"/>
          <w:rtl/>
        </w:rPr>
        <w:t xml:space="preserve">מהווה אינטרס ציבורי ראשון במעלה – קידום תחום הבריאות הדיגיטלית כאמצעי לשיפור הבריאות וכמנוע צמיחה כלכלי וטכנולוגי. זאת, בד בבד עם שמירה על אינטרס ציבורי חיוני אחר, ההגנה על זכויות מושאי המחקר, ע״י שילוב של מנגנוני הגנה – פרוצדורליים, טכנולוגיים ונורמטיביים. שילובם הנכון של שני אינטרסים חשובים אלו, באמצעות איזונים המשקפים הבנה של מורכבות הסוגיה והשפעתה האפשרית על תעשיית הבריאות הדיגיטלית וזכויות החולים בישראל, ראוי שימצא ביטוי ברגולציה המתגבשת. </w:t>
      </w:r>
      <w:r>
        <w:rPr>
          <w:rFonts w:asciiTheme="minorHAnsi" w:hAnsiTheme="minorHAnsi" w:cstheme="minorHAnsi" w:hint="cs"/>
          <w:rtl/>
        </w:rPr>
        <w:t xml:space="preserve">מדינת </w:t>
      </w:r>
      <w:r w:rsidRPr="00157399">
        <w:rPr>
          <w:rFonts w:asciiTheme="minorHAnsi" w:hAnsiTheme="minorHAnsi" w:cstheme="minorHAnsi"/>
          <w:rtl/>
        </w:rPr>
        <w:t xml:space="preserve">ישראל </w:t>
      </w:r>
      <w:r>
        <w:rPr>
          <w:rFonts w:asciiTheme="minorHAnsi" w:hAnsiTheme="minorHAnsi" w:cstheme="minorHAnsi" w:hint="cs"/>
          <w:rtl/>
        </w:rPr>
        <w:t>נמנית על</w:t>
      </w:r>
      <w:r w:rsidRPr="00157399">
        <w:rPr>
          <w:rFonts w:asciiTheme="minorHAnsi" w:hAnsiTheme="minorHAnsi" w:cstheme="minorHAnsi"/>
          <w:rtl/>
        </w:rPr>
        <w:t xml:space="preserve"> המדינות הראשונות המסדירות את השילוב שבין אפשור המחקר מחד גיסא, לבין הגנה על זכויות האנשים שהמידע שלהם משמש כבסיס למחקר, מאידך גיסא. עובדה זו, עשויה לסייע לבסס את מעמדה של המדינה כמוקד חדשנות ומובילות עולמי גם בתחום המדיניות הציבורית.</w:t>
      </w:r>
    </w:p>
    <w:p w14:paraId="504F422E" w14:textId="77777777" w:rsidR="003E40A5" w:rsidRPr="00157399" w:rsidRDefault="003E40A5" w:rsidP="003E40A5">
      <w:pPr>
        <w:bidi/>
        <w:spacing w:before="240" w:after="240" w:line="320" w:lineRule="exact"/>
        <w:jc w:val="both"/>
        <w:rPr>
          <w:rFonts w:asciiTheme="minorHAnsi" w:hAnsiTheme="minorHAnsi" w:cstheme="minorHAnsi"/>
        </w:rPr>
      </w:pPr>
      <w:r>
        <w:rPr>
          <w:rFonts w:asciiTheme="minorHAnsi" w:hAnsiTheme="minorHAnsi" w:cstheme="minorHAnsi" w:hint="cs"/>
          <w:rtl/>
        </w:rPr>
        <w:t xml:space="preserve">עמדתנו בתמצית הינה, שיש לבחון את המדיניות שבנדון על ידי ביצוע איזון אופקי בין זכויות חוקתיות </w:t>
      </w:r>
      <w:r>
        <w:rPr>
          <w:rFonts w:asciiTheme="minorHAnsi" w:hAnsiTheme="minorHAnsi" w:cstheme="minorHAnsi"/>
          <w:rtl/>
        </w:rPr>
        <w:t>–</w:t>
      </w:r>
      <w:r>
        <w:rPr>
          <w:rFonts w:asciiTheme="minorHAnsi" w:hAnsiTheme="minorHAnsi" w:cstheme="minorHAnsi" w:hint="cs"/>
          <w:rtl/>
        </w:rPr>
        <w:t xml:space="preserve"> הזכות לחיים</w:t>
      </w:r>
      <w:r w:rsidR="00EF77A3">
        <w:rPr>
          <w:rFonts w:asciiTheme="minorHAnsi" w:hAnsiTheme="minorHAnsi" w:cstheme="minorHAnsi" w:hint="cs"/>
          <w:rtl/>
        </w:rPr>
        <w:t xml:space="preserve"> והזכות לבריאות הנגזרת ממנה</w:t>
      </w:r>
      <w:r w:rsidR="00610A9F">
        <w:rPr>
          <w:rFonts w:asciiTheme="minorHAnsi" w:hAnsiTheme="minorHAnsi" w:cstheme="minorHAnsi" w:hint="cs"/>
          <w:rtl/>
        </w:rPr>
        <w:t>,</w:t>
      </w:r>
      <w:r>
        <w:rPr>
          <w:rFonts w:asciiTheme="minorHAnsi" w:hAnsiTheme="minorHAnsi" w:cstheme="minorHAnsi" w:hint="cs"/>
          <w:rtl/>
        </w:rPr>
        <w:t xml:space="preserve"> והזכות לפרטיות. את סבירות ומידתיות האיזון יש לבחון באמצעות מתודולוגיה מקצועית יעילה, מוכרת ומקובלת </w:t>
      </w:r>
      <w:r>
        <w:rPr>
          <w:rFonts w:asciiTheme="minorHAnsi" w:hAnsiTheme="minorHAnsi" w:cstheme="minorHAnsi"/>
          <w:rtl/>
        </w:rPr>
        <w:t>–</w:t>
      </w:r>
      <w:r>
        <w:rPr>
          <w:rFonts w:asciiTheme="minorHAnsi" w:hAnsiTheme="minorHAnsi" w:cstheme="minorHAnsi" w:hint="cs"/>
          <w:rtl/>
        </w:rPr>
        <w:t xml:space="preserve"> עיצוב לפרטיות. נקודות האיזון שיגובשו בהסדר יהווו בהכרח סדרה של פשרות, המגלמות, לעתים, מענה בלתי מושלם אך הכרחי, בכל עידן שבו יכולות טכנולוגיות פורצות דרך מאתגרות את הסדר הקיים ואת ערכי החברה.</w:t>
      </w:r>
    </w:p>
    <w:p w14:paraId="0BAABD20" w14:textId="77777777" w:rsidR="003E40A5" w:rsidRPr="00157399" w:rsidRDefault="003E40A5" w:rsidP="003E40A5">
      <w:pPr>
        <w:pStyle w:val="ListParagraph"/>
        <w:numPr>
          <w:ilvl w:val="0"/>
          <w:numId w:val="9"/>
        </w:numPr>
        <w:bidi/>
        <w:spacing w:before="240" w:after="240" w:line="320" w:lineRule="exact"/>
        <w:jc w:val="both"/>
        <w:rPr>
          <w:rFonts w:cstheme="minorHAnsi"/>
          <w:b/>
          <w:bCs/>
          <w:sz w:val="28"/>
          <w:szCs w:val="28"/>
          <w:rtl/>
        </w:rPr>
      </w:pPr>
      <w:r w:rsidRPr="00157399">
        <w:rPr>
          <w:rFonts w:cstheme="minorHAnsi"/>
          <w:b/>
          <w:bCs/>
          <w:sz w:val="28"/>
          <w:szCs w:val="28"/>
          <w:rtl/>
          <w:lang w:bidi="he-IL"/>
        </w:rPr>
        <w:t>חוקתיות, חוקיות ואיזון ערכים</w:t>
      </w:r>
    </w:p>
    <w:p w14:paraId="30262302"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ההסדר בבסיס המדיניות שבנדון נוגע לשני עקרונות יסוד מרכזיים המעוגנים בישראל בחוק יסוד: כבוד האדם וחירותו (להלן - חוק היסוד) והם: עקרון קדושת החיים וזכותו של אדם להגנה על חייו ועל גופו, ועקרון הפרטיות בצנעת חייו.</w:t>
      </w:r>
    </w:p>
    <w:p w14:paraId="4219C7E9" w14:textId="77777777" w:rsidR="003E40A5" w:rsidRPr="00157399" w:rsidRDefault="003E40A5" w:rsidP="003E40A5">
      <w:pPr>
        <w:bidi/>
        <w:jc w:val="both"/>
        <w:rPr>
          <w:rFonts w:asciiTheme="minorHAnsi" w:hAnsiTheme="minorHAnsi" w:cstheme="minorHAnsi"/>
        </w:rPr>
      </w:pPr>
      <w:r w:rsidRPr="00157399">
        <w:rPr>
          <w:rFonts w:asciiTheme="minorHAnsi" w:hAnsiTheme="minorHAnsi" w:cstheme="minorHAnsi"/>
          <w:rtl/>
        </w:rPr>
        <w:t>החוקה של ארגון הבריאות העולמי (</w:t>
      </w:r>
      <w:r w:rsidRPr="00157399">
        <w:rPr>
          <w:rFonts w:asciiTheme="minorHAnsi" w:hAnsiTheme="minorHAnsi" w:cstheme="minorHAnsi"/>
        </w:rPr>
        <w:t>World Health Organization</w:t>
      </w:r>
      <w:r w:rsidRPr="00157399">
        <w:rPr>
          <w:rFonts w:asciiTheme="minorHAnsi" w:hAnsiTheme="minorHAnsi" w:cstheme="minorHAnsi"/>
          <w:rtl/>
        </w:rPr>
        <w:t>) שהוקם על ידי ארגון האומות המאוחדות (להלן - האו״ם) הגדירה בשנת 1946 את הזכות לבריאות באופן רחב הכולל ״הנאה מרמת הבריאות הגבוהה ביותר שניתן להשיג.״</w:t>
      </w:r>
      <w:r w:rsidRPr="00157399">
        <w:rPr>
          <w:rStyle w:val="FootnoteReference"/>
          <w:rFonts w:asciiTheme="minorHAnsi" w:hAnsiTheme="minorHAnsi" w:cstheme="minorHAnsi"/>
        </w:rPr>
        <w:footnoteReference w:id="1"/>
      </w:r>
      <w:r w:rsidRPr="00157399">
        <w:rPr>
          <w:rFonts w:asciiTheme="minorHAnsi" w:hAnsiTheme="minorHAnsi" w:cstheme="minorHAnsi"/>
          <w:rtl/>
        </w:rPr>
        <w:t xml:space="preserve"> </w:t>
      </w:r>
      <w:r w:rsidRPr="00157399">
        <w:rPr>
          <w:rFonts w:asciiTheme="minorHAnsi" w:hAnsiTheme="minorHAnsi" w:cstheme="minorHAnsi"/>
        </w:rPr>
        <w:t xml:space="preserve"> </w:t>
      </w:r>
    </w:p>
    <w:p w14:paraId="72171AB8" w14:textId="77777777" w:rsidR="003E40A5" w:rsidRPr="00157399" w:rsidRDefault="003E40A5" w:rsidP="003E40A5">
      <w:pPr>
        <w:bidi/>
        <w:jc w:val="both"/>
        <w:rPr>
          <w:rFonts w:asciiTheme="minorHAnsi" w:hAnsiTheme="minorHAnsi" w:cstheme="minorHAnsi"/>
          <w:rtl/>
        </w:rPr>
      </w:pPr>
    </w:p>
    <w:p w14:paraId="7B690651" w14:textId="77777777" w:rsidR="003E40A5" w:rsidRPr="00157399" w:rsidRDefault="003E40A5" w:rsidP="003E40A5">
      <w:pPr>
        <w:bidi/>
        <w:jc w:val="both"/>
        <w:rPr>
          <w:rFonts w:asciiTheme="minorHAnsi" w:hAnsiTheme="minorHAnsi" w:cstheme="minorHAnsi"/>
        </w:rPr>
      </w:pPr>
      <w:r w:rsidRPr="00157399">
        <w:rPr>
          <w:rFonts w:asciiTheme="minorHAnsi" w:hAnsiTheme="minorHAnsi" w:cstheme="minorHAnsi"/>
          <w:rtl/>
        </w:rPr>
        <w:t>הזכות לבריאות מוגדרת בדומה גם על ידי האו"ם, בסעיף 12</w:t>
      </w:r>
      <w:r w:rsidRPr="00157399">
        <w:rPr>
          <w:rFonts w:asciiTheme="minorHAnsi" w:hAnsiTheme="minorHAnsi" w:cstheme="minorHAnsi"/>
        </w:rPr>
        <w:t xml:space="preserve"> </w:t>
      </w:r>
      <w:r w:rsidRPr="00157399">
        <w:rPr>
          <w:rFonts w:asciiTheme="minorHAnsi" w:hAnsiTheme="minorHAnsi" w:cstheme="minorHAnsi"/>
          <w:rtl/>
        </w:rPr>
        <w:t>לאמנה הבינלאומית בדבר זכויות כלכליות, חברתיות ותרבותיות</w:t>
      </w:r>
      <w:r w:rsidRPr="00157399">
        <w:rPr>
          <w:rFonts w:asciiTheme="minorHAnsi" w:hAnsiTheme="minorHAnsi" w:cstheme="minorHAnsi"/>
          <w:color w:val="222222"/>
          <w:shd w:val="clear" w:color="auto" w:fill="FFFFFF"/>
          <w:rtl/>
        </w:rPr>
        <w:t xml:space="preserve"> </w:t>
      </w:r>
      <w:r w:rsidRPr="00157399">
        <w:rPr>
          <w:rFonts w:asciiTheme="minorHAnsi" w:hAnsiTheme="minorHAnsi" w:cstheme="minorHAnsi"/>
        </w:rPr>
        <w:t xml:space="preserve">(ICESCR) </w:t>
      </w:r>
      <w:r w:rsidRPr="00157399">
        <w:rPr>
          <w:rFonts w:asciiTheme="minorHAnsi" w:hAnsiTheme="minorHAnsi" w:cstheme="minorHAnsi"/>
          <w:rtl/>
        </w:rPr>
        <w:t xml:space="preserve"> משנת 1966 הקובעת, שמדינות שהן צד לאמנה זו מכירות בזכותו של כל אדם להנאה מרמת הבריאות הגופנית והנפשית הגבוהה ביותר שניתן להשיג. מדינת </w:t>
      </w:r>
      <w:r w:rsidRPr="00157399">
        <w:rPr>
          <w:rFonts w:asciiTheme="minorHAnsi" w:hAnsiTheme="minorHAnsi" w:cstheme="minorHAnsi"/>
          <w:color w:val="222222"/>
          <w:shd w:val="clear" w:color="auto" w:fill="FFFFFF"/>
          <w:rtl/>
        </w:rPr>
        <w:t>ישראל היא צד לאמנה זו ומעוניינת ואף ומחויבת למלא אחר עקרונותיה</w:t>
      </w:r>
      <w:r w:rsidRPr="00157399">
        <w:rPr>
          <w:rFonts w:asciiTheme="minorHAnsi" w:hAnsiTheme="minorHAnsi" w:cstheme="minorHAnsi"/>
          <w:color w:val="222222"/>
          <w:shd w:val="clear" w:color="auto" w:fill="FFFFFF"/>
        </w:rPr>
        <w:t>.</w:t>
      </w:r>
    </w:p>
    <w:p w14:paraId="07244CD6"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בהתאם לסעיף 5 לחוק זכויות החולה, תשנ״ו-1996 (להלן - חוק זכויות החולה), מטופל זכאי לקבל טיפול רפואי נאות, הן מבחינת הרמה המקצועית והן מבחינת האיכות הרפואית. בה בעת, בהתאם לסעיף 10 לחוק זכויות החולה מטופל זכאי לשמירה על פרטיותו ובהתאם לסעיף 19 לחוק זכויות החולה, מחוייב הצוות המטפל  בשמירת הסודיות הרפואית של המטופל. סעיף 20 לחוק זה מאפשר מסירת מידע רפואי לאחר על ידי מטפל או מוסד רפואי, כאשר המסירה נועדה למטרות מחקר או הוראה בהתאם להוראות שקבע שר הבריאות, ובלבד של נחשפו פרטים מזהים של המטופל, במידה הנדרשת לצורך העניין, ותוך הימנעות מירבית מחשיפת זהותו של המטופל.</w:t>
      </w:r>
    </w:p>
    <w:p w14:paraId="16A46784"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 xml:space="preserve">בהתאם לחוק הגנת הפרטיות, תשמ״א-1981 (להלן - חוק הגנת הפרטיות) פגיעה בפרטיות אדם אסורה ללא הסכמתו, וסעיף 2 לחוק הגנת הפרטיות קובע, כי הפרה של חובת סודיות שנקבעה בדין, שימוש בידיעה על ענייניו הפרטים של אדם או מסירתה לאחר שלא למטרה לשמה נמסרה או פרסום של ענין הנוגע לצנעת חייו של אדם לרבות מצב בריאותו, מהווים פגיעה בפרטיות. יחד עם זאת, סעיף 18 לחוק הגנת הפרטיות משקף מצבים שבהם המחוקק סבר שקיימת הגנה לפוגע בפרטיות, אם הפגיעה נעשתה בנסיבות שבהן היתה מוטלת על הפוגע חובה חוקית, מוסרית, חברתית או מקצועית לעשותה, או אם בפגיעה היה ענין ציבורי המצדיק אותה בנסיבות הענין.  </w:t>
      </w:r>
    </w:p>
    <w:p w14:paraId="3C23E827"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 xml:space="preserve">בתי המשפט בישראל מפרשים את החקיקה אגב הכרעה בסכסוכים נקודתיים. מסקירה של פסיקות בית המשפט העליון ניתן למצוא, כפי שניתן היה לצפות לנוכח הצורך לאזן זכויות מהותיות, כי למשפט הישראלי אין עמדה חד-משמעית ביחס להיקפה של הזכות לבריאות, </w:t>
      </w:r>
      <w:r w:rsidR="00610A9F">
        <w:rPr>
          <w:rFonts w:asciiTheme="minorHAnsi" w:hAnsiTheme="minorHAnsi" w:cstheme="minorHAnsi" w:hint="cs"/>
          <w:rtl/>
        </w:rPr>
        <w:t>הנגזרת</w:t>
      </w:r>
      <w:r w:rsidRPr="00157399">
        <w:rPr>
          <w:rFonts w:asciiTheme="minorHAnsi" w:hAnsiTheme="minorHAnsi" w:cstheme="minorHAnsi"/>
          <w:rtl/>
        </w:rPr>
        <w:t xml:space="preserve"> </w:t>
      </w:r>
      <w:r w:rsidR="00610A9F">
        <w:rPr>
          <w:rFonts w:asciiTheme="minorHAnsi" w:hAnsiTheme="minorHAnsi" w:cstheme="minorHAnsi" w:hint="cs"/>
          <w:rtl/>
        </w:rPr>
        <w:t>מ</w:t>
      </w:r>
      <w:r w:rsidRPr="00157399">
        <w:rPr>
          <w:rFonts w:asciiTheme="minorHAnsi" w:hAnsiTheme="minorHAnsi" w:cstheme="minorHAnsi"/>
          <w:rtl/>
        </w:rPr>
        <w:t>זכות היסוד לקדושת החיים והגנת הגוף. כך למשל, הבהירה נשיאת ביהמ"ש העליון (כתוארה אז) השופטת ביניש, כי הזכות לבריאות אינה זכות אחת, אלא: ״שם כולל לאגד של זכויות הקשורות לבריאות האדם, אשר חלקן נהנות ממעמד חוקתי בשיטתנו המשפטית.״</w:t>
      </w:r>
      <w:r w:rsidRPr="00157399">
        <w:rPr>
          <w:rStyle w:val="FootnoteReference"/>
          <w:rFonts w:asciiTheme="minorHAnsi" w:hAnsiTheme="minorHAnsi" w:cstheme="minorHAnsi"/>
          <w:rtl/>
        </w:rPr>
        <w:footnoteReference w:id="2"/>
      </w:r>
      <w:r w:rsidRPr="00157399">
        <w:rPr>
          <w:rFonts w:asciiTheme="minorHAnsi" w:hAnsiTheme="minorHAnsi" w:cstheme="minorHAnsi"/>
          <w:rtl/>
        </w:rPr>
        <w:t xml:space="preserve"> עוד קובעת הנשיאה בייניש, כי: ״אין מקום לבחון את מעמדה החוקתי של הזכות האמורה כמכלול אחד, אלא יש להתייחס לטעמים המונחים בבסיס הזכויות והאינטרסים השונים המוגנים במסגרתה, בהתאם לחשיבותם החברתית היחסית ובהתחשב בעצמת זיקתם לזכויות החוקתיות המנויות בחוק יסוד: כבוד האדם וחירותו״.</w:t>
      </w:r>
    </w:p>
    <w:p w14:paraId="488DF8A8"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 xml:space="preserve">כאמור, המחוקק הישראלי, טיפל בעבר בשני האינטרסים החשובים לעיל, אלא שניכר כי ההתקדמות הטכנולוגית העצומה שחלה בעשורים האחרונים, הותירה את החקיקה הרחק מאחור. </w:t>
      </w:r>
    </w:p>
    <w:p w14:paraId="098932BB"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 xml:space="preserve">עד כה, השימוש </w:t>
      </w:r>
      <w:r w:rsidRPr="00610A9F">
        <w:rPr>
          <w:rFonts w:asciiTheme="minorHAnsi" w:hAnsiTheme="minorHAnsi" w:cstheme="minorHAnsi"/>
          <w:rtl/>
        </w:rPr>
        <w:t>במידע</w:t>
      </w:r>
      <w:r w:rsidRPr="00157399">
        <w:rPr>
          <w:rFonts w:asciiTheme="minorHAnsi" w:hAnsiTheme="minorHAnsi" w:cstheme="minorHAnsi"/>
          <w:rtl/>
        </w:rPr>
        <w:t xml:space="preserve"> בריאות בישראל מוסדר באמצעות: חוק זכויות החולה, חוק מידע גנטי, דיני הגנת הפרטיות, תקנות שונות והחובה האתית לסודיות רפואית. בצד אלו מתקיים נוהל ע״ב חוזר מנכ״ל משרד הבריאות משנת 2006 (להלן - נוהל 2006).</w:t>
      </w:r>
      <w:r w:rsidRPr="00157399">
        <w:rPr>
          <w:rStyle w:val="FootnoteReference"/>
          <w:rFonts w:asciiTheme="minorHAnsi" w:hAnsiTheme="minorHAnsi" w:cstheme="minorHAnsi"/>
          <w:rtl/>
        </w:rPr>
        <w:footnoteReference w:id="3"/>
      </w:r>
    </w:p>
    <w:p w14:paraId="6F6BE069"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 xml:space="preserve">כמצוין לעיל, הן הדינים והן הנוהל, לא הביאו בחשבון ואף לא יכולים היו להביא בחשבון, את ההתקדמות הטכנולוגית העצומה שחלה תוך שנים ספורות, היתרונות שניתן להפיק </w:t>
      </w:r>
      <w:r w:rsidR="00610A9F">
        <w:rPr>
          <w:rFonts w:asciiTheme="minorHAnsi" w:hAnsiTheme="minorHAnsi" w:cstheme="minorHAnsi" w:hint="cs"/>
          <w:rtl/>
        </w:rPr>
        <w:t>מ</w:t>
      </w:r>
      <w:r w:rsidRPr="00157399">
        <w:rPr>
          <w:rFonts w:asciiTheme="minorHAnsi" w:hAnsiTheme="minorHAnsi" w:cstheme="minorHAnsi"/>
          <w:rtl/>
        </w:rPr>
        <w:t xml:space="preserve">שימוש בטכנולוגיה ועיבוד המידע הרפואי כדי לסייע בפתרון בעיות רפואיות ובטיפול באנשים, כמו גם והאתגרים החדשים לשמירת זכויות החולים בניתוח של מידע רפואי, לרבות ובפרט יכולת לעבד נתוני עתק והתקדמות הבינה מלאכותית. </w:t>
      </w:r>
    </w:p>
    <w:p w14:paraId="188D09FE"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המידע הרפואי שייצרה וצברה האנושות, הכולל, בין היתר, מידע רב שנאסף אודות הגנטיקה של האדם, מספק הזדמנויות חדשות למחקר וטיפול רפואי.</w:t>
      </w:r>
      <w:r w:rsidRPr="00157399">
        <w:rPr>
          <w:rStyle w:val="FootnoteReference"/>
          <w:rFonts w:asciiTheme="minorHAnsi" w:hAnsiTheme="minorHAnsi" w:cstheme="minorHAnsi"/>
          <w:rtl/>
        </w:rPr>
        <w:footnoteReference w:id="4"/>
      </w:r>
      <w:r w:rsidRPr="00157399">
        <w:rPr>
          <w:rFonts w:asciiTheme="minorHAnsi" w:hAnsiTheme="minorHAnsi" w:cstheme="minorHAnsi"/>
          <w:rtl/>
        </w:rPr>
        <w:t xml:space="preserve"> כך למשל, איסוף עיבוד ומחקר של גורמים סביבתיים ונטייה ביולוגית-גנטית, מאפשר לפתח רפואה מדויקת, מותאמת-אישית, שתתמוך בטיפול מיטבי אישי המותאם למבנה הגנטי של המטופל, תוך התחשבות בהשפעות הסביבתיות הספציפיות של המטופל.</w:t>
      </w:r>
      <w:r w:rsidRPr="00157399">
        <w:rPr>
          <w:rStyle w:val="FootnoteReference"/>
          <w:rFonts w:asciiTheme="minorHAnsi" w:hAnsiTheme="minorHAnsi" w:cstheme="minorHAnsi"/>
          <w:rtl/>
        </w:rPr>
        <w:footnoteReference w:id="5"/>
      </w:r>
      <w:r w:rsidRPr="00157399">
        <w:rPr>
          <w:rFonts w:asciiTheme="minorHAnsi" w:hAnsiTheme="minorHAnsi" w:cstheme="minorHAnsi"/>
          <w:rtl/>
        </w:rPr>
        <w:t xml:space="preserve"> יתרונות כגון אלו, מקדמים את הרפואה במאה ה - 21 לכזו שהינה יותר מעורבת, ממוקדת </w:t>
      </w:r>
      <w:r w:rsidRPr="00157399">
        <w:rPr>
          <w:rFonts w:asciiTheme="minorHAnsi" w:hAnsiTheme="minorHAnsi" w:cstheme="minorHAnsi"/>
        </w:rPr>
        <w:t>(targeted)</w:t>
      </w:r>
      <w:r w:rsidRPr="00157399">
        <w:rPr>
          <w:rFonts w:asciiTheme="minorHAnsi" w:hAnsiTheme="minorHAnsi" w:cstheme="minorHAnsi"/>
          <w:rtl/>
        </w:rPr>
        <w:t xml:space="preserve"> ואישית.</w:t>
      </w:r>
      <w:r w:rsidRPr="00157399">
        <w:rPr>
          <w:rStyle w:val="FootnoteReference"/>
          <w:rFonts w:asciiTheme="minorHAnsi" w:hAnsiTheme="minorHAnsi" w:cstheme="minorHAnsi"/>
          <w:rtl/>
        </w:rPr>
        <w:footnoteReference w:id="6"/>
      </w:r>
      <w:r w:rsidRPr="00157399">
        <w:rPr>
          <w:rFonts w:asciiTheme="minorHAnsi" w:hAnsiTheme="minorHAnsi" w:cstheme="minorHAnsi"/>
          <w:rtl/>
        </w:rPr>
        <w:t xml:space="preserve"> שיתוף מידע בריאות למטרות מחקר מאפשר הזדמנויות לניתוח טוב יותר של גורמי מחלות, פיתוח שיטות אבחון משופרות, קידום רפואה מונעת, הגברת הסיכוי למציאת תרופות, הפחתת עלויות רפואיות, ויעילות מוגברת של מערכת הבריאות.</w:t>
      </w:r>
      <w:r w:rsidRPr="00157399">
        <w:rPr>
          <w:rStyle w:val="FootnoteReference"/>
          <w:rFonts w:asciiTheme="minorHAnsi" w:hAnsiTheme="minorHAnsi" w:cstheme="minorHAnsi"/>
          <w:rtl/>
        </w:rPr>
        <w:footnoteReference w:id="7"/>
      </w:r>
    </w:p>
    <w:p w14:paraId="75C513D6"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גוף האדם יוצא דופן מבחינת המורכבות שלו.</w:t>
      </w:r>
      <w:r w:rsidRPr="00157399">
        <w:rPr>
          <w:rStyle w:val="FootnoteReference"/>
          <w:rFonts w:asciiTheme="minorHAnsi" w:hAnsiTheme="minorHAnsi" w:cstheme="minorHAnsi"/>
          <w:rtl/>
        </w:rPr>
        <w:footnoteReference w:id="8"/>
      </w:r>
      <w:r w:rsidRPr="00157399">
        <w:rPr>
          <w:rFonts w:asciiTheme="minorHAnsi" w:hAnsiTheme="minorHAnsi" w:cstheme="minorHAnsi"/>
          <w:rtl/>
        </w:rPr>
        <w:t xml:space="preserve"> אינספור תהליכים מתרחשים בו, בו-זמנית, וקשורים אחד לשני בדרכים שונות. הרפואה המודרנית מצליחה אט אט להבין תהליכים אלו ולמצוא דרכי טיפול מתאימות. שימוש במידע בריאות לצורך מחקר ופיתוח, יבטיח ניצול מיטבי של משאב חשוב זה לטובת קידום הרפואה ורווחת הכלל. </w:t>
      </w:r>
    </w:p>
    <w:p w14:paraId="2496EC49"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גם מנקודת מבט כלכלית, שיתוף ומחקר במידע בריאות צפויים להיות מועילים מאוד. מחקר מידע בריאות יוביל ליעילות גבוהה יותר ועל כן לחיסכון בעלויות עבור מערכות הבריאות, הסובלות מהוצאות גוברות והולכות, שצפויות להאמיר נוכח תחזיות הגידול המשמעותי הצפוי באוכלוסייה שתידרש לשירותי בריאות. דבר זה יוביל לתועלת ישירה ועקיפה עבור המטופלים עצמם ועבור ביטוח הבריאות הציבורי.</w:t>
      </w:r>
      <w:r w:rsidRPr="00157399">
        <w:rPr>
          <w:rStyle w:val="FootnoteReference"/>
          <w:rFonts w:asciiTheme="minorHAnsi" w:hAnsiTheme="minorHAnsi" w:cstheme="minorHAnsi"/>
          <w:rtl/>
        </w:rPr>
        <w:footnoteReference w:id="9"/>
      </w:r>
      <w:r w:rsidRPr="00157399">
        <w:rPr>
          <w:rFonts w:asciiTheme="minorHAnsi" w:hAnsiTheme="minorHAnsi" w:cstheme="minorHAnsi"/>
          <w:rtl/>
        </w:rPr>
        <w:t xml:space="preserve"> זאת ועוד, החלטת הממשלה הציבה כמטרה חיזוקן של חברות מקומיות לזכות ביתרון הגישה למידע ולפתח פתרונות שיוכלו להפוך למובילים בזירה הבינלאומית, באופן שייצר הכנסה למשק ותרומה לכלכלה הישראלית.</w:t>
      </w:r>
    </w:p>
    <w:p w14:paraId="4CF36397" w14:textId="77777777" w:rsidR="003E40A5" w:rsidRPr="00157399" w:rsidRDefault="003E40A5" w:rsidP="003E40A5">
      <w:pPr>
        <w:pStyle w:val="NormalWeb"/>
        <w:shd w:val="clear" w:color="auto" w:fill="FFFFFF"/>
        <w:bidi/>
        <w:spacing w:line="320" w:lineRule="exact"/>
        <w:jc w:val="both"/>
        <w:rPr>
          <w:rFonts w:asciiTheme="minorHAnsi" w:hAnsiTheme="minorHAnsi" w:cstheme="minorHAnsi"/>
          <w:rtl/>
        </w:rPr>
      </w:pPr>
      <w:r w:rsidRPr="00157399">
        <w:rPr>
          <w:rFonts w:asciiTheme="minorHAnsi" w:hAnsiTheme="minorHAnsi" w:cstheme="minorHAnsi"/>
          <w:rtl/>
        </w:rPr>
        <w:t xml:space="preserve">יחד עם זאת, חולים, רופאים, חוקרים ומפתחים נדרשים להתמודד עם מגוון סיכונים, הנלווים לעיבוד מידע אישי. כאשר מידע אישי מנוהל באופן ממוחשב, נגיש ומונגש לגורמים שונים דרך ממשקי תקשורת שונים, גוברים הסיכונים לזליגה בלתי מכוונת של המידע למרחב הציבורי, שימוש </w:t>
      </w:r>
      <w:r>
        <w:rPr>
          <w:rFonts w:asciiTheme="minorHAnsi" w:hAnsiTheme="minorHAnsi" w:cstheme="minorHAnsi" w:hint="cs"/>
          <w:rtl/>
        </w:rPr>
        <w:t>במידע</w:t>
      </w:r>
      <w:r w:rsidRPr="00157399">
        <w:rPr>
          <w:rFonts w:asciiTheme="minorHAnsi" w:hAnsiTheme="minorHAnsi" w:cstheme="minorHAnsi"/>
          <w:rtl/>
        </w:rPr>
        <w:t xml:space="preserve"> שלא כדין על ידי גורמים שקיבלו גישה אליו, גניבה של המידע והעברתו מיד ליד למטרות פשיעה, לוחמה, או שיבוש </w:t>
      </w:r>
      <w:r>
        <w:rPr>
          <w:rFonts w:asciiTheme="minorHAnsi" w:hAnsiTheme="minorHAnsi" w:cstheme="minorHAnsi" w:hint="cs"/>
          <w:rtl/>
        </w:rPr>
        <w:t>של המידע בין במזיד ובין בשוגג</w:t>
      </w:r>
      <w:r w:rsidRPr="00157399">
        <w:rPr>
          <w:rFonts w:asciiTheme="minorHAnsi" w:hAnsiTheme="minorHAnsi" w:cstheme="minorHAnsi"/>
          <w:rtl/>
        </w:rPr>
        <w:t xml:space="preserve">. </w:t>
      </w:r>
    </w:p>
    <w:p w14:paraId="3040851A" w14:textId="77777777" w:rsidR="003E40A5" w:rsidRPr="00157399" w:rsidRDefault="003E40A5" w:rsidP="003E40A5">
      <w:pPr>
        <w:pStyle w:val="NormalWeb"/>
        <w:shd w:val="clear" w:color="auto" w:fill="FFFFFF"/>
        <w:bidi/>
        <w:spacing w:line="320" w:lineRule="exact"/>
        <w:jc w:val="both"/>
        <w:rPr>
          <w:rFonts w:asciiTheme="minorHAnsi" w:hAnsiTheme="minorHAnsi" w:cstheme="minorHAnsi"/>
          <w:rtl/>
        </w:rPr>
      </w:pPr>
      <w:r>
        <w:rPr>
          <w:rFonts w:asciiTheme="minorHAnsi" w:hAnsiTheme="minorHAnsi" w:cstheme="minorHAnsi" w:hint="cs"/>
          <w:rtl/>
        </w:rPr>
        <w:t xml:space="preserve">התממשות סיכונים אלו </w:t>
      </w:r>
      <w:r w:rsidRPr="00157399">
        <w:rPr>
          <w:rFonts w:asciiTheme="minorHAnsi" w:hAnsiTheme="minorHAnsi" w:cstheme="minorHAnsi"/>
          <w:rtl/>
        </w:rPr>
        <w:t xml:space="preserve"> </w:t>
      </w:r>
      <w:r>
        <w:rPr>
          <w:rFonts w:asciiTheme="minorHAnsi" w:hAnsiTheme="minorHAnsi" w:cstheme="minorHAnsi" w:hint="cs"/>
          <w:rtl/>
        </w:rPr>
        <w:t>עלול</w:t>
      </w:r>
      <w:r w:rsidR="00D072C4">
        <w:rPr>
          <w:rFonts w:asciiTheme="minorHAnsi" w:hAnsiTheme="minorHAnsi" w:cstheme="minorHAnsi" w:hint="cs"/>
          <w:rtl/>
        </w:rPr>
        <w:t>ה</w:t>
      </w:r>
      <w:r w:rsidRPr="00157399">
        <w:rPr>
          <w:rFonts w:asciiTheme="minorHAnsi" w:hAnsiTheme="minorHAnsi" w:cstheme="minorHAnsi"/>
          <w:rtl/>
        </w:rPr>
        <w:t xml:space="preserve"> לגרום לפגיעה בזכויותיהם וטובתם של אנשים, עקב שימוש ללא הסכמה (או ידיעה) במידע הרפואי שלהם על ידי גורמים מסחריים, ממשלתיים, ארגונים עוינים או אנשים חורשי רע. הנזקים עשויים לכלול: אפליה ותיוג שלילי על סמך מידע אישי בריאותי שיובילו להדרה חברתית ואפליה בתחום התעסוקה, הביטוח, קבלת הלוואות, שכירות, חינוך ועוד; חשיפת ענייניו האישים של אדם באופן הגורם למבוכה ובושה; הונאה, סחיטה, ניצול וגניבת זהות</w:t>
      </w:r>
      <w:r>
        <w:rPr>
          <w:rFonts w:asciiTheme="minorHAnsi" w:hAnsiTheme="minorHAnsi" w:cstheme="minorHAnsi" w:hint="cs"/>
          <w:rtl/>
        </w:rPr>
        <w:t xml:space="preserve">. </w:t>
      </w:r>
      <w:r w:rsidRPr="00157399">
        <w:rPr>
          <w:rFonts w:asciiTheme="minorHAnsi" w:hAnsiTheme="minorHAnsi" w:cstheme="minorHAnsi"/>
          <w:rtl/>
        </w:rPr>
        <w:t xml:space="preserve">כמו כן, שימוש במידע רפואי </w:t>
      </w:r>
      <w:r>
        <w:rPr>
          <w:rFonts w:asciiTheme="minorHAnsi" w:hAnsiTheme="minorHAnsi" w:cstheme="minorHAnsi" w:hint="cs"/>
          <w:rtl/>
        </w:rPr>
        <w:t>עלול</w:t>
      </w:r>
      <w:r w:rsidRPr="00157399">
        <w:rPr>
          <w:rFonts w:asciiTheme="minorHAnsi" w:hAnsiTheme="minorHAnsi" w:cstheme="minorHAnsi"/>
          <w:rtl/>
        </w:rPr>
        <w:t xml:space="preserve"> להיות בסיס למניפולציה מסחרית</w:t>
      </w:r>
      <w:r w:rsidRPr="00157399">
        <w:rPr>
          <w:rFonts w:asciiTheme="minorHAnsi" w:hAnsiTheme="minorHAnsi" w:cstheme="minorHAnsi"/>
        </w:rPr>
        <w:t xml:space="preserve"> </w:t>
      </w:r>
      <w:r w:rsidRPr="00157399">
        <w:rPr>
          <w:rFonts w:asciiTheme="minorHAnsi" w:hAnsiTheme="minorHAnsi" w:cstheme="minorHAnsi"/>
          <w:rtl/>
        </w:rPr>
        <w:t xml:space="preserve">והשפעה על קבלת החלטות רכישה של אנשים, באופן שאינו בהכרח לטובתם ופוגע באוטונומיה שלהם לקבל החלטות מושכלות וחופשיות בענייניהם. בהקשר הספציפי של מידע גנטי, עומדת לאנשים גם הזכות שלא לדעת </w:t>
      </w:r>
      <w:r w:rsidRPr="00157399">
        <w:rPr>
          <w:rFonts w:asciiTheme="minorHAnsi" w:hAnsiTheme="minorHAnsi" w:cstheme="minorHAnsi"/>
        </w:rPr>
        <w:t xml:space="preserve">(the right </w:t>
      </w:r>
      <w:r w:rsidRPr="00157399">
        <w:rPr>
          <w:rFonts w:asciiTheme="minorHAnsi" w:hAnsiTheme="minorHAnsi" w:cstheme="minorHAnsi"/>
          <w:i/>
          <w:iCs/>
        </w:rPr>
        <w:t>not</w:t>
      </w:r>
      <w:r w:rsidRPr="00157399">
        <w:rPr>
          <w:rFonts w:asciiTheme="minorHAnsi" w:hAnsiTheme="minorHAnsi" w:cstheme="minorHAnsi"/>
        </w:rPr>
        <w:t xml:space="preserve"> to know)</w:t>
      </w:r>
      <w:r w:rsidRPr="00157399">
        <w:rPr>
          <w:rFonts w:asciiTheme="minorHAnsi" w:hAnsiTheme="minorHAnsi" w:cstheme="minorHAnsi"/>
          <w:rtl/>
        </w:rPr>
        <w:t xml:space="preserve"> מידע שכזה אודות עצמם, אשר יש בו כדי להשליך גם על מצבם הרפואי, נטיותיהם השונות וקשרי המשפחה של בני משפחה מקרבת-דם</w:t>
      </w:r>
      <w:r>
        <w:rPr>
          <w:rFonts w:asciiTheme="minorHAnsi" w:hAnsiTheme="minorHAnsi" w:cstheme="minorHAnsi" w:hint="cs"/>
          <w:rtl/>
        </w:rPr>
        <w:t>. מידע גנטי אף מ</w:t>
      </w:r>
      <w:r w:rsidRPr="00157399">
        <w:rPr>
          <w:rFonts w:asciiTheme="minorHAnsi" w:hAnsiTheme="minorHAnsi" w:cstheme="minorHAnsi"/>
          <w:rtl/>
        </w:rPr>
        <w:t xml:space="preserve">אפשר את זיהויים </w:t>
      </w:r>
      <w:r>
        <w:rPr>
          <w:rFonts w:asciiTheme="minorHAnsi" w:hAnsiTheme="minorHAnsi" w:cstheme="minorHAnsi" w:hint="cs"/>
          <w:rtl/>
        </w:rPr>
        <w:t xml:space="preserve">(ללא ידיעה או הסכמה) של בני משפחה </w:t>
      </w:r>
      <w:r w:rsidRPr="00157399">
        <w:rPr>
          <w:rFonts w:asciiTheme="minorHAnsi" w:hAnsiTheme="minorHAnsi" w:cstheme="minorHAnsi"/>
          <w:rtl/>
        </w:rPr>
        <w:t>בהקשרים שונים, באופן שאינו עולה בקנה אחד עם טובתם והאינטרסים שלהם</w:t>
      </w:r>
      <w:r>
        <w:rPr>
          <w:rFonts w:asciiTheme="minorHAnsi" w:hAnsiTheme="minorHAnsi" w:cstheme="minorHAnsi" w:hint="cs"/>
          <w:rtl/>
        </w:rPr>
        <w:t xml:space="preserve"> </w:t>
      </w:r>
      <w:r w:rsidRPr="00157399">
        <w:rPr>
          <w:rFonts w:asciiTheme="minorHAnsi" w:hAnsiTheme="minorHAnsi" w:cstheme="minorHAnsi"/>
          <w:rtl/>
        </w:rPr>
        <w:t>.</w:t>
      </w:r>
      <w:r w:rsidRPr="00157399">
        <w:rPr>
          <w:rStyle w:val="FootnoteReference"/>
          <w:rFonts w:asciiTheme="minorHAnsi" w:hAnsiTheme="minorHAnsi" w:cstheme="minorHAnsi"/>
          <w:rtl/>
        </w:rPr>
        <w:footnoteReference w:id="10"/>
      </w:r>
      <w:r w:rsidRPr="00157399">
        <w:rPr>
          <w:rFonts w:asciiTheme="minorHAnsi" w:hAnsiTheme="minorHAnsi" w:cstheme="minorHAnsi"/>
          <w:rtl/>
        </w:rPr>
        <w:t xml:space="preserve"> </w:t>
      </w:r>
    </w:p>
    <w:p w14:paraId="363F09D7" w14:textId="77777777" w:rsidR="003E40A5" w:rsidRPr="00157399" w:rsidRDefault="00610A9F" w:rsidP="003E40A5">
      <w:pPr>
        <w:pStyle w:val="NormalWeb"/>
        <w:shd w:val="clear" w:color="auto" w:fill="FFFFFF"/>
        <w:bidi/>
        <w:spacing w:line="320" w:lineRule="exact"/>
        <w:jc w:val="both"/>
        <w:rPr>
          <w:rFonts w:asciiTheme="minorHAnsi" w:hAnsiTheme="minorHAnsi" w:cstheme="minorHAnsi"/>
          <w:rtl/>
        </w:rPr>
      </w:pPr>
      <w:r>
        <w:rPr>
          <w:rFonts w:asciiTheme="minorHAnsi" w:hAnsiTheme="minorHAnsi" w:cstheme="minorHAnsi" w:hint="cs"/>
          <w:rtl/>
        </w:rPr>
        <w:t xml:space="preserve">אכן, </w:t>
      </w:r>
      <w:r w:rsidR="003E40A5" w:rsidRPr="00157399">
        <w:rPr>
          <w:rFonts w:asciiTheme="minorHAnsi" w:hAnsiTheme="minorHAnsi" w:cstheme="minorHAnsi"/>
          <w:rtl/>
        </w:rPr>
        <w:t>התממשות סיכונים אלו עשויה</w:t>
      </w:r>
      <w:r w:rsidR="003E40A5">
        <w:rPr>
          <w:rFonts w:asciiTheme="minorHAnsi" w:hAnsiTheme="minorHAnsi" w:cstheme="minorHAnsi" w:hint="cs"/>
          <w:rtl/>
        </w:rPr>
        <w:t xml:space="preserve">, נוסף על הנזקים הברורים לאזרחים, אף </w:t>
      </w:r>
      <w:r w:rsidR="003E40A5" w:rsidRPr="00157399">
        <w:rPr>
          <w:rFonts w:asciiTheme="minorHAnsi" w:hAnsiTheme="minorHAnsi" w:cstheme="minorHAnsi"/>
          <w:rtl/>
        </w:rPr>
        <w:t>להביא לפגיעה באמון בארגוני הבריאות והמטפלים, באופן שירתיע מטופלים למסור מידע</w:t>
      </w:r>
      <w:r w:rsidR="003E40A5">
        <w:rPr>
          <w:rFonts w:asciiTheme="minorHAnsi" w:hAnsiTheme="minorHAnsi" w:cstheme="minorHAnsi" w:hint="cs"/>
          <w:rtl/>
        </w:rPr>
        <w:t xml:space="preserve"> ובכך </w:t>
      </w:r>
      <w:r w:rsidR="003E40A5" w:rsidRPr="00157399">
        <w:rPr>
          <w:rFonts w:asciiTheme="minorHAnsi" w:hAnsiTheme="minorHAnsi" w:cstheme="minorHAnsi"/>
          <w:rtl/>
        </w:rPr>
        <w:t xml:space="preserve">לסכן אותם </w:t>
      </w:r>
      <w:r w:rsidR="003E40A5">
        <w:rPr>
          <w:rFonts w:asciiTheme="minorHAnsi" w:hAnsiTheme="minorHAnsi" w:cstheme="minorHAnsi" w:hint="cs"/>
          <w:rtl/>
        </w:rPr>
        <w:t xml:space="preserve">פיזית, לרבות </w:t>
      </w:r>
      <w:r w:rsidR="003E40A5" w:rsidRPr="00157399">
        <w:rPr>
          <w:rFonts w:asciiTheme="minorHAnsi" w:hAnsiTheme="minorHAnsi" w:cstheme="minorHAnsi"/>
          <w:rtl/>
        </w:rPr>
        <w:t>באיכות הטיפול הרפואי שיקבלו בעקבות זאת, ואף ליצור חשיפה כלכלית למדינה</w:t>
      </w:r>
      <w:r w:rsidR="003E40A5">
        <w:rPr>
          <w:rFonts w:asciiTheme="minorHAnsi" w:hAnsiTheme="minorHAnsi" w:cstheme="minorHAnsi" w:hint="cs"/>
          <w:rtl/>
        </w:rPr>
        <w:t xml:space="preserve"> </w:t>
      </w:r>
      <w:r w:rsidR="003E40A5" w:rsidRPr="00157399">
        <w:rPr>
          <w:rFonts w:asciiTheme="minorHAnsi" w:hAnsiTheme="minorHAnsi" w:cstheme="minorHAnsi"/>
          <w:rtl/>
        </w:rPr>
        <w:t>עקב תביעות</w:t>
      </w:r>
      <w:r w:rsidR="003E40A5">
        <w:rPr>
          <w:rFonts w:asciiTheme="minorHAnsi" w:hAnsiTheme="minorHAnsi" w:cstheme="minorHAnsi" w:hint="cs"/>
          <w:rtl/>
        </w:rPr>
        <w:t xml:space="preserve"> בגין חשיפת המידע והנזקים הכרוכים בכך</w:t>
      </w:r>
      <w:r w:rsidR="003E40A5" w:rsidRPr="00157399">
        <w:rPr>
          <w:rFonts w:asciiTheme="minorHAnsi" w:hAnsiTheme="minorHAnsi" w:cstheme="minorHAnsi"/>
          <w:rtl/>
        </w:rPr>
        <w:t xml:space="preserve">.  </w:t>
      </w:r>
    </w:p>
    <w:p w14:paraId="2B695D51"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 xml:space="preserve">ההסדר הרגולטורי על שיתוף מידע בריאותי שיאומץ, </w:t>
      </w:r>
      <w:r>
        <w:rPr>
          <w:rFonts w:asciiTheme="minorHAnsi" w:hAnsiTheme="minorHAnsi" w:cstheme="minorHAnsi" w:hint="cs"/>
          <w:rtl/>
        </w:rPr>
        <w:t xml:space="preserve">אמור </w:t>
      </w:r>
      <w:r w:rsidRPr="00157399">
        <w:rPr>
          <w:rFonts w:asciiTheme="minorHAnsi" w:hAnsiTheme="minorHAnsi" w:cstheme="minorHAnsi"/>
          <w:rtl/>
        </w:rPr>
        <w:t>לממש את עקרונות החלטת הממשלה ולתמוך במימוש מטרותיה ובהתפתחותה של רפואה מבוססת מידע ורפואה מונעת, כמו גם בתעשיית הבריאות הדיגיטלית הישראלית ויכולתה לשתף פעולה עם גורמים בינלאומיים, כפי שנעשה גם כיום בתחום המחקר הרפואי.</w:t>
      </w:r>
      <w:r w:rsidRPr="00157399">
        <w:rPr>
          <w:rStyle w:val="FootnoteReference"/>
          <w:rFonts w:asciiTheme="minorHAnsi" w:hAnsiTheme="minorHAnsi" w:cstheme="minorHAnsi"/>
          <w:rtl/>
        </w:rPr>
        <w:footnoteReference w:id="11"/>
      </w:r>
      <w:r w:rsidRPr="00157399">
        <w:rPr>
          <w:rFonts w:asciiTheme="minorHAnsi" w:hAnsiTheme="minorHAnsi" w:cstheme="minorHAnsi"/>
          <w:rtl/>
        </w:rPr>
        <w:t xml:space="preserve"> עקרונות פרטיות והגנת מידע נכונים, יאפשרו הקמת</w:t>
      </w:r>
      <w:r>
        <w:rPr>
          <w:rFonts w:asciiTheme="minorHAnsi" w:hAnsiTheme="minorHAnsi" w:cstheme="minorHAnsi"/>
        </w:rPr>
        <w:t xml:space="preserve"> </w:t>
      </w:r>
      <w:r w:rsidRPr="00157399">
        <w:rPr>
          <w:rFonts w:asciiTheme="minorHAnsi" w:hAnsiTheme="minorHAnsi" w:cstheme="minorHAnsi"/>
          <w:rtl/>
        </w:rPr>
        <w:t xml:space="preserve">מנגנונים מעשיים לשיתוף מידע שיקלו על עריכת מחקר במידע בריאות ושיתופו, תוך שמירה על זכויות היסוד של נושאי המידע. שילוב מאוזן יהיה כזה, השואף  להליך מעשי וישים שיתמוך בתהליכי המחקר והפיתוח. </w:t>
      </w:r>
    </w:p>
    <w:p w14:paraId="042DA899"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ספקי שירותי הבריאות מחוייבים מזה שנים ופועלים לשמור על מידע בריאותי בסודיות וליישם אמצעי אבטחת מידע, זאת בכדי למנוע נזקים אפשריים של הפרות אבטחת מידע</w:t>
      </w:r>
      <w:r w:rsidRPr="00157399">
        <w:rPr>
          <w:rStyle w:val="FootnoteReference"/>
          <w:rFonts w:asciiTheme="minorHAnsi" w:hAnsiTheme="minorHAnsi" w:cstheme="minorHAnsi"/>
          <w:rtl/>
        </w:rPr>
        <w:footnoteReference w:id="12"/>
      </w:r>
      <w:r w:rsidRPr="00157399">
        <w:rPr>
          <w:rFonts w:asciiTheme="minorHAnsi" w:hAnsiTheme="minorHAnsi" w:cstheme="minorHAnsi"/>
          <w:rtl/>
        </w:rPr>
        <w:t xml:space="preserve"> על המטופלים שלהם. בו בזמן, שלושת תחומי הרפואה – מניעה, טיפול במחלות, והמשך פיתוח שיטות טיפול ומניעה – מחייבים עיבוד רחב של מידע בריאות.</w:t>
      </w:r>
      <w:r w:rsidRPr="00157399">
        <w:rPr>
          <w:rStyle w:val="FootnoteReference"/>
          <w:rFonts w:asciiTheme="minorHAnsi" w:hAnsiTheme="minorHAnsi" w:cstheme="minorHAnsi"/>
          <w:rtl/>
        </w:rPr>
        <w:footnoteReference w:id="13"/>
      </w:r>
    </w:p>
    <w:p w14:paraId="66A9A396" w14:textId="77777777" w:rsidR="003E40A5" w:rsidRPr="00157399" w:rsidRDefault="003E40A5" w:rsidP="003E40A5">
      <w:pPr>
        <w:bidi/>
        <w:spacing w:before="240" w:after="240" w:line="320" w:lineRule="exact"/>
        <w:jc w:val="both"/>
        <w:rPr>
          <w:rFonts w:asciiTheme="minorHAnsi" w:hAnsiTheme="minorHAnsi" w:cstheme="minorHAnsi"/>
          <w:rtl/>
        </w:rPr>
      </w:pPr>
      <w:r w:rsidRPr="00157399">
        <w:rPr>
          <w:rFonts w:asciiTheme="minorHAnsi" w:hAnsiTheme="minorHAnsi" w:cstheme="minorHAnsi"/>
          <w:rtl/>
        </w:rPr>
        <w:t xml:space="preserve">אכן התממשות של סיכוני פגיעה בזכויות מטופלים עקב מחקר במידע בריאות הינה תוצאה שעלינו למנוע ככל יכולתנו. אולם, גם להגבלות על שיתוף מידע בריאות ומחקר במידע בריאות עלולות להיות השלכות אשר ימנעו מחולים הטבה פוטנציאלית, כמו גם ימנעו קידום איכות הרפואה המוצעת להם, מקום ששיפור כזה מצוי בהישג יד. צמצום של שיתוף ומחקר במידע בריאות עשוי להשפיע לרעה ובאופן ישיר על עתיד הרפואה ובריאות הפרט </w:t>
      </w:r>
      <w:r w:rsidR="00D072C4" w:rsidRPr="009A2F94">
        <w:rPr>
          <w:rFonts w:asciiTheme="minorHAnsi" w:hAnsiTheme="minorHAnsi" w:cstheme="minorHAnsi"/>
          <w:b/>
          <w:bCs/>
          <w:noProof/>
          <w:color w:val="000000" w:themeColor="text1"/>
          <w:rtl/>
          <w:lang w:val="he-IL"/>
        </w:rPr>
        <mc:AlternateContent>
          <mc:Choice Requires="wps">
            <w:drawing>
              <wp:anchor distT="0" distB="0" distL="114300" distR="114300" simplePos="0" relativeHeight="251659264" behindDoc="1" locked="0" layoutInCell="1" allowOverlap="1" wp14:anchorId="1CB13FAD" wp14:editId="56E4A1AB">
                <wp:simplePos x="0" y="0"/>
                <wp:positionH relativeFrom="column">
                  <wp:posOffset>-89535</wp:posOffset>
                </wp:positionH>
                <wp:positionV relativeFrom="paragraph">
                  <wp:posOffset>485702</wp:posOffset>
                </wp:positionV>
                <wp:extent cx="6250305" cy="1169233"/>
                <wp:effectExtent l="0" t="0" r="10795" b="12065"/>
                <wp:wrapNone/>
                <wp:docPr id="2" name="Rectangle 2"/>
                <wp:cNvGraphicFramePr/>
                <a:graphic xmlns:a="http://schemas.openxmlformats.org/drawingml/2006/main">
                  <a:graphicData uri="http://schemas.microsoft.com/office/word/2010/wordprocessingShape">
                    <wps:wsp>
                      <wps:cNvSpPr/>
                      <wps:spPr>
                        <a:xfrm>
                          <a:off x="0" y="0"/>
                          <a:ext cx="6250305" cy="1169233"/>
                        </a:xfrm>
                        <a:prstGeom prst="rect">
                          <a:avLst/>
                        </a:prstGeom>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D4A922" id="Rectangle 2" o:spid="_x0000_s1026" style="position:absolute;margin-left:-7.05pt;margin-top:38.25pt;width:492.15pt;height:92.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" fillcolor="#ddd [3204]" strokecolor="#b2b2b2 [3205]" strokeweight="1pt"/>
            </w:pict>
          </mc:Fallback>
        </mc:AlternateContent>
      </w:r>
      <w:r w:rsidRPr="00157399">
        <w:rPr>
          <w:rFonts w:asciiTheme="minorHAnsi" w:hAnsiTheme="minorHAnsi" w:cstheme="minorHAnsi"/>
          <w:rtl/>
        </w:rPr>
        <w:t>בישראל.</w:t>
      </w:r>
      <w:r w:rsidRPr="00157399">
        <w:rPr>
          <w:rStyle w:val="FootnoteReference"/>
          <w:rFonts w:asciiTheme="minorHAnsi" w:hAnsiTheme="minorHAnsi" w:cstheme="minorHAnsi"/>
          <w:rtl/>
        </w:rPr>
        <w:footnoteReference w:id="14"/>
      </w:r>
      <w:r w:rsidRPr="00157399">
        <w:rPr>
          <w:rFonts w:asciiTheme="minorHAnsi" w:hAnsiTheme="minorHAnsi" w:cstheme="minorHAnsi"/>
          <w:rtl/>
        </w:rPr>
        <w:t xml:space="preserve"> </w:t>
      </w:r>
      <w:r w:rsidR="00B30302">
        <w:rPr>
          <w:rFonts w:asciiTheme="minorHAnsi" w:hAnsiTheme="minorHAnsi" w:cstheme="minorHAnsi" w:hint="cs"/>
          <w:rtl/>
        </w:rPr>
        <w:t>כך נמצא עצמנו נמנעים מלספק רמת שירותי בריאות הגבוהה ביותר שניתן להשיג כשאיפת הזכות לבריאות.</w:t>
      </w:r>
    </w:p>
    <w:p w14:paraId="14F59F91" w14:textId="77777777" w:rsidR="003E40A5" w:rsidRPr="00233EAE" w:rsidRDefault="003E40A5" w:rsidP="003E40A5">
      <w:pPr>
        <w:bidi/>
        <w:spacing w:before="240" w:after="240" w:line="320" w:lineRule="exact"/>
        <w:jc w:val="both"/>
        <w:rPr>
          <w:rFonts w:asciiTheme="minorHAnsi" w:hAnsiTheme="minorHAnsi" w:cstheme="minorHAnsi"/>
          <w:b/>
          <w:bCs/>
          <w:rtl/>
        </w:rPr>
      </w:pPr>
      <w:r w:rsidRPr="00233EAE">
        <w:rPr>
          <w:rFonts w:asciiTheme="minorHAnsi" w:hAnsiTheme="minorHAnsi" w:cstheme="minorHAnsi"/>
          <w:b/>
          <w:bCs/>
          <w:rtl/>
        </w:rPr>
        <w:t>מן המקובץ לעיל עולה, כי התכלית העומדת בבסיס ההסדר המוצע, ליצור הסדר פרטני מפורש הנכון לעולם הטכנולוגי של היום, כזה שיאפשר ניתוח מידע רפואי לתועלת הכלל יחד עם הבטחת הגנה על האינטרסים של מטופלים, נושאי המידע, מהווה הצעה לאיזון בין זכויות חוקתיות, וככזו יש לבחון אותה תוך איזון אופקי ולא אנכי. גם בבחינת החקיקה הראשית וההסדרים המפורטים הקיימים בה להגשמת שתי הזכויות – חוק זכויות החולה וחוק הגנת הפרטיות – יש לבצע איזון אופקי.</w:t>
      </w:r>
      <w:r w:rsidRPr="00233EAE">
        <w:rPr>
          <w:rStyle w:val="FootnoteReference"/>
          <w:rFonts w:asciiTheme="minorHAnsi" w:hAnsiTheme="minorHAnsi" w:cstheme="minorHAnsi"/>
          <w:b/>
          <w:bCs/>
          <w:rtl/>
        </w:rPr>
        <w:footnoteReference w:id="15"/>
      </w:r>
      <w:r w:rsidRPr="00233EAE">
        <w:rPr>
          <w:rFonts w:asciiTheme="minorHAnsi" w:hAnsiTheme="minorHAnsi" w:cstheme="minorHAnsi"/>
          <w:b/>
          <w:bCs/>
          <w:rtl/>
        </w:rPr>
        <w:t xml:space="preserve"> </w:t>
      </w:r>
    </w:p>
    <w:p w14:paraId="2DF72AA2" w14:textId="77777777" w:rsidR="003E40A5" w:rsidRPr="00157399" w:rsidRDefault="003E40A5" w:rsidP="00BE6946">
      <w:pPr>
        <w:bidi/>
        <w:spacing w:after="80" w:line="320" w:lineRule="exact"/>
        <w:jc w:val="both"/>
        <w:rPr>
          <w:rFonts w:asciiTheme="minorHAnsi" w:hAnsiTheme="minorHAnsi" w:cstheme="minorHAnsi"/>
        </w:rPr>
      </w:pPr>
      <w:r>
        <w:rPr>
          <w:rFonts w:asciiTheme="minorHAnsi" w:hAnsiTheme="minorHAnsi" w:cstheme="minorHAnsi" w:hint="cs"/>
          <w:rtl/>
        </w:rPr>
        <w:t xml:space="preserve">כידוע, </w:t>
      </w:r>
      <w:r w:rsidRPr="00157399">
        <w:rPr>
          <w:rFonts w:asciiTheme="minorHAnsi" w:hAnsiTheme="minorHAnsi" w:cstheme="minorHAnsi"/>
          <w:rtl/>
        </w:rPr>
        <w:t>כאשר ערכי היסוד של השיטה מתנגשים, יש להתחשב בערכים כולם, תוך קביעת משקלם ומקומם. הזכות לפרטיות והזכות לבריאות אינן זכויות מוחלטות ובלתי מוגבלות, אלא זכויות יחסיות, הניתנות לצמצום לנוכח קיום אינטרסים מדיניים חברתיים חשובים. האיזון הוא פעולה נורמטיבית. יש לאתר את הערכים המתנגשים, לקבוע את חשיבותם החברתית היחסית, וכאשר הערכים הם שווי מעמד, יש לקבוע את מידת הוויתור ההדדי אשר כל אחד מהערכים צריך לוותר לרעהו על-מנת לאפשר קיום בצוותא של כולם</w:t>
      </w:r>
      <w:r>
        <w:rPr>
          <w:rFonts w:asciiTheme="minorHAnsi" w:hAnsiTheme="minorHAnsi" w:cstheme="minorHAnsi" w:hint="cs"/>
          <w:rtl/>
        </w:rPr>
        <w:t>,</w:t>
      </w:r>
      <w:r w:rsidRPr="00157399">
        <w:rPr>
          <w:rStyle w:val="FootnoteReference"/>
          <w:rFonts w:asciiTheme="minorHAnsi" w:hAnsiTheme="minorHAnsi" w:cstheme="minorHAnsi"/>
          <w:rtl/>
        </w:rPr>
        <w:footnoteReference w:id="16"/>
      </w:r>
      <w:r>
        <w:rPr>
          <w:rFonts w:asciiTheme="minorHAnsi" w:hAnsiTheme="minorHAnsi" w:cstheme="minorHAnsi" w:hint="cs"/>
          <w:rtl/>
        </w:rPr>
        <w:t xml:space="preserve"> ובכך להשיא את התועלת לחברה ואזרחיה.</w:t>
      </w:r>
    </w:p>
    <w:p w14:paraId="7E2B6216" w14:textId="77777777" w:rsidR="003E40A5" w:rsidRPr="00157399" w:rsidRDefault="003E40A5" w:rsidP="003E40A5">
      <w:pPr>
        <w:pStyle w:val="ListParagraph"/>
        <w:numPr>
          <w:ilvl w:val="0"/>
          <w:numId w:val="9"/>
        </w:numPr>
        <w:bidi/>
        <w:spacing w:before="240" w:after="240" w:line="320" w:lineRule="exact"/>
        <w:jc w:val="both"/>
        <w:rPr>
          <w:rFonts w:cstheme="minorHAnsi"/>
          <w:b/>
          <w:bCs/>
          <w:sz w:val="28"/>
          <w:szCs w:val="28"/>
          <w:lang w:bidi="he-IL"/>
        </w:rPr>
      </w:pPr>
      <w:r w:rsidRPr="00157399">
        <w:rPr>
          <w:rFonts w:cstheme="minorHAnsi"/>
          <w:b/>
          <w:bCs/>
          <w:sz w:val="28"/>
          <w:szCs w:val="28"/>
          <w:rtl/>
          <w:lang w:bidi="he-IL"/>
        </w:rPr>
        <w:t>בחינת ההסדר באמצעות</w:t>
      </w:r>
      <w:r w:rsidRPr="00157399">
        <w:rPr>
          <w:rFonts w:cstheme="minorHAnsi"/>
          <w:b/>
          <w:bCs/>
          <w:sz w:val="28"/>
          <w:szCs w:val="28"/>
          <w:lang w:bidi="he-IL"/>
        </w:rPr>
        <w:t xml:space="preserve"> </w:t>
      </w:r>
      <w:r w:rsidRPr="00157399">
        <w:rPr>
          <w:rFonts w:cstheme="minorHAnsi"/>
          <w:b/>
          <w:bCs/>
          <w:sz w:val="28"/>
          <w:szCs w:val="28"/>
          <w:rtl/>
          <w:lang w:bidi="he-IL"/>
        </w:rPr>
        <w:t xml:space="preserve">כלי </w:t>
      </w:r>
      <w:r>
        <w:rPr>
          <w:rFonts w:cstheme="minorHAnsi" w:hint="cs"/>
          <w:b/>
          <w:bCs/>
          <w:sz w:val="28"/>
          <w:szCs w:val="28"/>
          <w:rtl/>
          <w:lang w:bidi="he-IL"/>
        </w:rPr>
        <w:t xml:space="preserve">עיצוב לפרטיות - </w:t>
      </w:r>
      <w:r w:rsidRPr="00157399">
        <w:rPr>
          <w:rFonts w:cstheme="minorHAnsi"/>
          <w:b/>
          <w:bCs/>
          <w:sz w:val="28"/>
          <w:szCs w:val="28"/>
          <w:lang w:bidi="he-IL"/>
        </w:rPr>
        <w:t>Privacy by Design</w:t>
      </w:r>
    </w:p>
    <w:p w14:paraId="615EF301" w14:textId="77777777" w:rsidR="003E40A5" w:rsidRDefault="003E40A5" w:rsidP="003E40A5">
      <w:pPr>
        <w:bidi/>
        <w:spacing w:before="240" w:after="240" w:line="320" w:lineRule="exact"/>
        <w:jc w:val="both"/>
        <w:rPr>
          <w:rFonts w:asciiTheme="minorHAnsi" w:hAnsiTheme="minorHAnsi" w:cstheme="minorHAnsi"/>
          <w:color w:val="000000" w:themeColor="text1"/>
          <w:vertAlign w:val="superscript"/>
          <w:rtl/>
        </w:rPr>
      </w:pPr>
      <w:r w:rsidRPr="00157399">
        <w:rPr>
          <w:rFonts w:asciiTheme="minorHAnsi" w:hAnsiTheme="minorHAnsi" w:cstheme="minorHAnsi"/>
          <w:color w:val="000000" w:themeColor="text1"/>
          <w:rtl/>
        </w:rPr>
        <w:t xml:space="preserve">בהינתן שההסדר דורש ביצוע איזון בין זכויות חוקתיות מקבילות וחקיקות ראשיות מקבילות, כמו גם גיבוש מערך התמודדות שיאפשר שימוש בנתוני עתק של מידע רפואי לצרכי מחקר, תוך שמירה על זכויותיהם של נושאי המידע לפרטיות על ידי מניעה והפחתה של התממשות הסיכונים ותרחישי הנזק </w:t>
      </w:r>
      <w:r>
        <w:rPr>
          <w:rFonts w:asciiTheme="minorHAnsi" w:hAnsiTheme="minorHAnsi" w:cstheme="minorHAnsi"/>
          <w:color w:val="000000" w:themeColor="text1"/>
          <w:rtl/>
        </w:rPr>
        <w:t>–</w:t>
      </w:r>
      <w:r w:rsidR="00610A9F">
        <w:rPr>
          <w:rFonts w:asciiTheme="minorHAnsi" w:hAnsiTheme="minorHAnsi" w:cstheme="minorHAnsi" w:hint="cs"/>
          <w:color w:val="000000" w:themeColor="text1"/>
          <w:rtl/>
        </w:rPr>
        <w:t xml:space="preserve"> </w:t>
      </w:r>
      <w:r w:rsidRPr="00157399">
        <w:rPr>
          <w:rFonts w:asciiTheme="minorHAnsi" w:hAnsiTheme="minorHAnsi" w:cstheme="minorHAnsi"/>
          <w:color w:val="000000" w:themeColor="text1"/>
          <w:rtl/>
        </w:rPr>
        <w:t xml:space="preserve">המתודולוגיה המתאימה </w:t>
      </w:r>
      <w:r>
        <w:rPr>
          <w:rFonts w:asciiTheme="minorHAnsi" w:hAnsiTheme="minorHAnsi" w:cstheme="minorHAnsi" w:hint="cs"/>
          <w:color w:val="000000" w:themeColor="text1"/>
          <w:rtl/>
        </w:rPr>
        <w:t>כבר קיימת ב</w:t>
      </w:r>
      <w:r w:rsidRPr="00157399">
        <w:rPr>
          <w:rFonts w:asciiTheme="minorHAnsi" w:hAnsiTheme="minorHAnsi" w:cstheme="minorHAnsi"/>
          <w:color w:val="000000" w:themeColor="text1"/>
          <w:rtl/>
        </w:rPr>
        <w:t>מקצוע הגנת הפרטיות</w:t>
      </w:r>
      <w:r w:rsidRPr="00157399">
        <w:rPr>
          <w:rFonts w:asciiTheme="minorHAnsi" w:hAnsiTheme="minorHAnsi" w:cstheme="minorHAnsi"/>
          <w:color w:val="000000" w:themeColor="text1"/>
          <w:vertAlign w:val="superscript"/>
          <w:rtl/>
        </w:rPr>
        <w:footnoteReference w:id="17"/>
      </w:r>
      <w:r w:rsidRPr="00157399">
        <w:rPr>
          <w:rFonts w:asciiTheme="minorHAnsi" w:hAnsiTheme="minorHAnsi" w:cstheme="minorHAnsi"/>
          <w:color w:val="000000" w:themeColor="text1"/>
          <w:rtl/>
        </w:rPr>
        <w:t xml:space="preserve"> </w:t>
      </w:r>
      <w:r w:rsidR="00610A9F">
        <w:rPr>
          <w:rFonts w:asciiTheme="minorHAnsi" w:hAnsiTheme="minorHAnsi" w:cstheme="minorHAnsi" w:hint="cs"/>
          <w:color w:val="000000" w:themeColor="text1"/>
          <w:rtl/>
        </w:rPr>
        <w:t>ו</w:t>
      </w:r>
      <w:r w:rsidRPr="00157399">
        <w:rPr>
          <w:rFonts w:asciiTheme="minorHAnsi" w:hAnsiTheme="minorHAnsi" w:cstheme="minorHAnsi"/>
          <w:color w:val="000000" w:themeColor="text1"/>
          <w:rtl/>
        </w:rPr>
        <w:t xml:space="preserve">היא זו של מודל </w:t>
      </w:r>
      <w:r w:rsidRPr="00157399">
        <w:rPr>
          <w:rFonts w:asciiTheme="minorHAnsi" w:hAnsiTheme="minorHAnsi" w:cstheme="minorHAnsi"/>
          <w:color w:val="000000" w:themeColor="text1"/>
        </w:rPr>
        <w:t>Privacy by Design (PbD)</w:t>
      </w:r>
      <w:r w:rsidRPr="00157399">
        <w:rPr>
          <w:rFonts w:asciiTheme="minorHAnsi" w:hAnsiTheme="minorHAnsi" w:cstheme="minorHAnsi"/>
          <w:color w:val="000000" w:themeColor="text1"/>
          <w:rtl/>
        </w:rPr>
        <w:t>.</w:t>
      </w:r>
      <w:r w:rsidRPr="00157399">
        <w:rPr>
          <w:rFonts w:asciiTheme="minorHAnsi" w:hAnsiTheme="minorHAnsi" w:cstheme="minorHAnsi"/>
          <w:color w:val="000000" w:themeColor="text1"/>
          <w:vertAlign w:val="superscript"/>
        </w:rPr>
        <w:t xml:space="preserve"> </w:t>
      </w:r>
      <w:r w:rsidRPr="00157399">
        <w:rPr>
          <w:rFonts w:asciiTheme="minorHAnsi" w:hAnsiTheme="minorHAnsi" w:cstheme="minorHAnsi"/>
          <w:color w:val="000000" w:themeColor="text1"/>
          <w:vertAlign w:val="superscript"/>
        </w:rPr>
        <w:footnoteReference w:id="18"/>
      </w:r>
    </w:p>
    <w:p w14:paraId="129D67E0" w14:textId="77777777" w:rsidR="003E40A5" w:rsidRDefault="003E40A5" w:rsidP="003E40A5">
      <w:pPr>
        <w:bidi/>
        <w:spacing w:before="240" w:after="240" w:line="320" w:lineRule="exact"/>
        <w:jc w:val="both"/>
        <w:rPr>
          <w:rFonts w:asciiTheme="minorHAnsi" w:hAnsiTheme="minorHAnsi" w:cstheme="minorHAnsi"/>
          <w:color w:val="000000" w:themeColor="text1"/>
          <w:rtl/>
        </w:rPr>
      </w:pPr>
      <w:r w:rsidRPr="00702C54">
        <w:rPr>
          <w:rFonts w:asciiTheme="minorHAnsi" w:hAnsiTheme="minorHAnsi" w:cstheme="minorHAnsi" w:hint="cs"/>
          <w:color w:val="000000" w:themeColor="text1"/>
          <w:rtl/>
        </w:rPr>
        <w:t xml:space="preserve">יודגש, </w:t>
      </w:r>
      <w:r>
        <w:rPr>
          <w:rFonts w:asciiTheme="minorHAnsi" w:hAnsiTheme="minorHAnsi" w:cstheme="minorHAnsi" w:hint="cs"/>
          <w:color w:val="000000" w:themeColor="text1"/>
          <w:rtl/>
        </w:rPr>
        <w:t xml:space="preserve">כי מודל </w:t>
      </w:r>
      <w:r>
        <w:rPr>
          <w:rFonts w:asciiTheme="minorHAnsi" w:hAnsiTheme="minorHAnsi" w:cstheme="minorHAnsi"/>
          <w:color w:val="000000" w:themeColor="text1"/>
        </w:rPr>
        <w:t>PbD</w:t>
      </w:r>
      <w:r>
        <w:rPr>
          <w:rFonts w:asciiTheme="minorHAnsi" w:hAnsiTheme="minorHAnsi" w:cstheme="minorHAnsi" w:hint="cs"/>
          <w:color w:val="000000" w:themeColor="text1"/>
          <w:rtl/>
        </w:rPr>
        <w:t xml:space="preserve"> כולל עקרון של שימור הפונקציונליות של המערכת להגשמה מיטבית של המטרה לשמה הוקמה. כלומר, שואפים לבחור אמצעים ותהליכים שיגשימו את הצורך </w:t>
      </w:r>
      <w:r>
        <w:rPr>
          <w:rFonts w:asciiTheme="minorHAnsi" w:hAnsiTheme="minorHAnsi" w:cstheme="minorHAnsi"/>
          <w:color w:val="000000" w:themeColor="text1"/>
          <w:rtl/>
        </w:rPr>
        <w:t>–</w:t>
      </w:r>
      <w:r>
        <w:rPr>
          <w:rFonts w:asciiTheme="minorHAnsi" w:hAnsiTheme="minorHAnsi" w:cstheme="minorHAnsi" w:hint="cs"/>
          <w:color w:val="000000" w:themeColor="text1"/>
          <w:rtl/>
        </w:rPr>
        <w:t xml:space="preserve"> במקרה זה עידוד וקידום שיתופי פעולה ושימוש מחקרי במידע בריאות, כדי להביא לשיפור איכות הטיפול הרפואי וקידום המחקר הרפואי, תוך שבה בעת שואפים לגבש כללים לשמירה על סודיות ופרטיות המידע והגנה על זכויותיהם של אנשים. </w:t>
      </w:r>
    </w:p>
    <w:p w14:paraId="3BA6AF2D" w14:textId="77777777" w:rsidR="00F278C1" w:rsidRDefault="00F278C1" w:rsidP="00F278C1">
      <w:pPr>
        <w:bidi/>
        <w:spacing w:before="240" w:after="240" w:line="320" w:lineRule="exact"/>
        <w:jc w:val="both"/>
        <w:rPr>
          <w:rFonts w:asciiTheme="minorHAnsi" w:hAnsiTheme="minorHAnsi" w:cstheme="minorHAnsi"/>
          <w:color w:val="000000" w:themeColor="text1"/>
          <w:rtl/>
        </w:rPr>
      </w:pPr>
      <w:r>
        <w:rPr>
          <w:rFonts w:asciiTheme="minorHAnsi" w:hAnsiTheme="minorHAnsi" w:cstheme="minorHAnsi"/>
          <w:color w:val="000000" w:themeColor="text1"/>
        </w:rPr>
        <w:t>Data Protection by Design and by Default</w:t>
      </w:r>
      <w:r>
        <w:rPr>
          <w:rFonts w:asciiTheme="minorHAnsi" w:hAnsiTheme="minorHAnsi" w:cstheme="minorHAnsi" w:hint="cs"/>
          <w:color w:val="000000" w:themeColor="text1"/>
          <w:rtl/>
        </w:rPr>
        <w:t xml:space="preserve"> אף הפכו לחובה חקוקה ברגולצייה האירופאית להגנת המידע (</w:t>
      </w:r>
      <w:r>
        <w:rPr>
          <w:rFonts w:asciiTheme="minorHAnsi" w:hAnsiTheme="minorHAnsi" w:cstheme="minorHAnsi"/>
          <w:color w:val="000000" w:themeColor="text1"/>
        </w:rPr>
        <w:t>GDPR</w:t>
      </w:r>
      <w:r>
        <w:rPr>
          <w:rFonts w:asciiTheme="minorHAnsi" w:hAnsiTheme="minorHAnsi" w:cstheme="minorHAnsi" w:hint="cs"/>
          <w:color w:val="000000" w:themeColor="text1"/>
          <w:rtl/>
        </w:rPr>
        <w:t>).</w:t>
      </w:r>
      <w:r>
        <w:rPr>
          <w:rStyle w:val="FootnoteReference"/>
          <w:rFonts w:asciiTheme="minorHAnsi" w:hAnsiTheme="minorHAnsi" w:cstheme="minorHAnsi"/>
          <w:color w:val="000000" w:themeColor="text1"/>
          <w:rtl/>
        </w:rPr>
        <w:footnoteReference w:id="19"/>
      </w:r>
    </w:p>
    <w:p w14:paraId="049B3109" w14:textId="77777777" w:rsidR="003E40A5" w:rsidRPr="00157399" w:rsidRDefault="003E40A5" w:rsidP="003E40A5">
      <w:pPr>
        <w:bidi/>
        <w:spacing w:before="240" w:after="240" w:line="320" w:lineRule="exact"/>
        <w:jc w:val="both"/>
        <w:rPr>
          <w:rFonts w:asciiTheme="minorHAnsi" w:hAnsiTheme="minorHAnsi" w:cstheme="minorHAnsi"/>
          <w:color w:val="000000" w:themeColor="text1"/>
          <w:rtl/>
        </w:rPr>
      </w:pPr>
      <w:r>
        <w:rPr>
          <w:rFonts w:asciiTheme="minorHAnsi" w:hAnsiTheme="minorHAnsi" w:cstheme="minorHAnsi" w:hint="cs"/>
          <w:color w:val="000000" w:themeColor="text1"/>
          <w:rtl/>
        </w:rPr>
        <w:t>על מנת ששתי מטרות אלו ידורו יחדיו</w:t>
      </w:r>
      <w:r w:rsidR="00610A9F">
        <w:rPr>
          <w:rFonts w:asciiTheme="minorHAnsi" w:hAnsiTheme="minorHAnsi" w:cstheme="minorHAnsi" w:hint="cs"/>
          <w:color w:val="000000" w:themeColor="text1"/>
          <w:rtl/>
        </w:rPr>
        <w:t>,</w:t>
      </w:r>
      <w:r>
        <w:rPr>
          <w:rFonts w:asciiTheme="minorHAnsi" w:hAnsiTheme="minorHAnsi" w:cstheme="minorHAnsi" w:hint="cs"/>
          <w:color w:val="000000" w:themeColor="text1"/>
          <w:rtl/>
        </w:rPr>
        <w:t xml:space="preserve"> עלינו להגיע </w:t>
      </w:r>
      <w:r w:rsidR="00610A9F">
        <w:rPr>
          <w:rFonts w:asciiTheme="minorHAnsi" w:hAnsiTheme="minorHAnsi" w:cstheme="minorHAnsi" w:hint="cs"/>
          <w:color w:val="000000" w:themeColor="text1"/>
          <w:rtl/>
        </w:rPr>
        <w:t xml:space="preserve">בהכרח </w:t>
      </w:r>
      <w:r>
        <w:rPr>
          <w:rFonts w:asciiTheme="minorHAnsi" w:hAnsiTheme="minorHAnsi" w:cstheme="minorHAnsi" w:hint="cs"/>
          <w:color w:val="000000" w:themeColor="text1"/>
          <w:rtl/>
        </w:rPr>
        <w:t>לפשרות. אף אחד מהעקרונות אינו יכול להתממש באופן אבסולוטי משום שאז יאיין את משנהו. היעדר מוחלט של סיכון לפרטיות יתממש כאשר נימנע כל</w:t>
      </w:r>
      <w:r w:rsidR="00610A9F">
        <w:rPr>
          <w:rFonts w:asciiTheme="minorHAnsi" w:hAnsiTheme="minorHAnsi" w:cstheme="minorHAnsi" w:hint="cs"/>
          <w:color w:val="000000" w:themeColor="text1"/>
          <w:rtl/>
        </w:rPr>
        <w:t>י</w:t>
      </w:r>
      <w:r>
        <w:rPr>
          <w:rFonts w:asciiTheme="minorHAnsi" w:hAnsiTheme="minorHAnsi" w:cstheme="minorHAnsi" w:hint="cs"/>
          <w:color w:val="000000" w:themeColor="text1"/>
          <w:rtl/>
        </w:rPr>
        <w:t>ל משימוש במידע על אנשים. חופש מחקרי מלא יתממש כאשר נוותר על כל מגבלה בשימוש במידע ונאפשר שימוש חופשי לכל. בין שני הקטבים הללו יש להגיע להכרעת מדיניות שתמוקם בנקודת איזון כלשהי על המנעד, שמייצגת את המחיר שאנו מוכנים לסכן תמורת התועלת שאנו צופים להרוויח. המדיניות שבנדון מהווה נקודה איזון אחת כזו, וכמוה ייתכנו גם אחרות, בהתאם למשקלים שיינתנו לשיקולי המדיניות השונים.</w:t>
      </w:r>
    </w:p>
    <w:p w14:paraId="50B4D805" w14:textId="77777777" w:rsidR="003E40A5" w:rsidRPr="006145CD" w:rsidRDefault="003E40A5" w:rsidP="003E40A5">
      <w:pPr>
        <w:bidi/>
        <w:spacing w:before="240" w:after="240" w:line="320" w:lineRule="exact"/>
        <w:jc w:val="both"/>
        <w:rPr>
          <w:rFonts w:asciiTheme="minorHAnsi" w:hAnsiTheme="minorHAnsi" w:cstheme="minorHAnsi"/>
          <w:color w:val="000000" w:themeColor="text1"/>
          <w:u w:val="single"/>
          <w:rtl/>
        </w:rPr>
      </w:pPr>
      <w:r>
        <w:rPr>
          <w:rFonts w:asciiTheme="minorHAnsi" w:hAnsiTheme="minorHAnsi" w:cstheme="minorHAnsi" w:hint="cs"/>
          <w:color w:val="000000" w:themeColor="text1"/>
          <w:u w:val="single"/>
          <w:rtl/>
        </w:rPr>
        <w:t xml:space="preserve">לנוחות הקריאה יובאו להלן </w:t>
      </w:r>
      <w:r w:rsidRPr="006145CD">
        <w:rPr>
          <w:rFonts w:asciiTheme="minorHAnsi" w:hAnsiTheme="minorHAnsi" w:cstheme="minorHAnsi"/>
          <w:color w:val="000000" w:themeColor="text1"/>
          <w:u w:val="single"/>
          <w:rtl/>
        </w:rPr>
        <w:t xml:space="preserve">עקרונות מודל ה </w:t>
      </w:r>
      <w:r>
        <w:rPr>
          <w:rFonts w:asciiTheme="minorHAnsi" w:hAnsiTheme="minorHAnsi" w:cstheme="minorHAnsi"/>
          <w:color w:val="000000" w:themeColor="text1"/>
          <w:u w:val="single"/>
          <w:rtl/>
        </w:rPr>
        <w:t>–</w:t>
      </w:r>
      <w:r w:rsidRPr="006145CD">
        <w:rPr>
          <w:rFonts w:asciiTheme="minorHAnsi" w:hAnsiTheme="minorHAnsi" w:cstheme="minorHAnsi"/>
          <w:color w:val="000000" w:themeColor="text1"/>
          <w:u w:val="single"/>
          <w:rtl/>
        </w:rPr>
        <w:t xml:space="preserve"> </w:t>
      </w:r>
      <w:r w:rsidRPr="006145CD">
        <w:rPr>
          <w:rFonts w:asciiTheme="minorHAnsi" w:hAnsiTheme="minorHAnsi" w:cstheme="minorHAnsi"/>
          <w:color w:val="000000" w:themeColor="text1"/>
          <w:u w:val="single"/>
        </w:rPr>
        <w:t>PbD</w:t>
      </w:r>
      <w:r>
        <w:rPr>
          <w:rFonts w:asciiTheme="minorHAnsi" w:hAnsiTheme="minorHAnsi" w:cstheme="minorHAnsi" w:hint="cs"/>
          <w:color w:val="000000" w:themeColor="text1"/>
          <w:u w:val="single"/>
          <w:rtl/>
        </w:rPr>
        <w:t xml:space="preserve"> ולאחר מכן יוצג יישומם במסגרת ההסדר המוצע</w:t>
      </w:r>
      <w:r w:rsidRPr="006145CD">
        <w:rPr>
          <w:rFonts w:asciiTheme="minorHAnsi" w:hAnsiTheme="minorHAnsi" w:cstheme="minorHAnsi"/>
          <w:color w:val="000000" w:themeColor="text1"/>
          <w:u w:val="single"/>
          <w:rtl/>
        </w:rPr>
        <w:t>:</w:t>
      </w:r>
    </w:p>
    <w:p w14:paraId="44D02908" w14:textId="77777777" w:rsidR="003E40A5" w:rsidRDefault="003E40A5" w:rsidP="003E40A5">
      <w:pPr>
        <w:bidi/>
        <w:spacing w:line="320" w:lineRule="exact"/>
        <w:jc w:val="both"/>
        <w:rPr>
          <w:rFonts w:ascii="Calibri" w:hAnsi="Calibri" w:cs="Calibri"/>
          <w:b/>
          <w:bCs/>
          <w:color w:val="000000"/>
        </w:rPr>
      </w:pPr>
      <w:r>
        <w:rPr>
          <w:rFonts w:ascii="Calibri" w:hAnsi="Calibri" w:cs="Calibri"/>
          <w:b/>
          <w:bCs/>
          <w:color w:val="000000"/>
          <w:rtl/>
        </w:rPr>
        <w:t>יוזמה ומניעה</w:t>
      </w:r>
    </w:p>
    <w:p w14:paraId="00C3035C" w14:textId="77777777" w:rsidR="003E40A5" w:rsidRPr="00871831" w:rsidRDefault="003E40A5" w:rsidP="003E40A5">
      <w:pPr>
        <w:bidi/>
        <w:spacing w:line="320" w:lineRule="exact"/>
        <w:jc w:val="both"/>
        <w:rPr>
          <w:rFonts w:ascii="Calibri" w:hAnsi="Calibri" w:cs="Calibri"/>
          <w:b/>
          <w:bCs/>
          <w:color w:val="000000"/>
        </w:rPr>
      </w:pPr>
      <w:r w:rsidRPr="00871831">
        <w:rPr>
          <w:rFonts w:asciiTheme="minorHAnsi" w:eastAsiaTheme="minorHAnsi" w:hAnsiTheme="minorHAnsi" w:cstheme="minorHAnsi"/>
          <w:color w:val="000000" w:themeColor="text1"/>
          <w:rtl/>
        </w:rPr>
        <w:t>מחוייבות ברמת הנהלה בכירה להטמעת פרטיות באופן פרואקטיבי ותוך יישום אמצעי מניעה מראש על פני תיקון בדיעבד</w:t>
      </w:r>
      <w:r>
        <w:rPr>
          <w:rFonts w:asciiTheme="minorHAnsi" w:eastAsiaTheme="minorHAnsi" w:hAnsiTheme="minorHAnsi" w:cstheme="minorHAnsi" w:hint="cs"/>
          <w:color w:val="000000" w:themeColor="text1"/>
          <w:rtl/>
        </w:rPr>
        <w:t>.</w:t>
      </w:r>
      <w:r w:rsidRPr="00871831">
        <w:rPr>
          <w:rFonts w:asciiTheme="minorHAnsi" w:eastAsiaTheme="minorHAnsi" w:hAnsiTheme="minorHAnsi" w:cstheme="minorHAnsi"/>
          <w:color w:val="000000" w:themeColor="text1"/>
        </w:rPr>
        <w:br/>
      </w:r>
      <w:r>
        <w:rPr>
          <w:rFonts w:ascii="Calibri" w:hAnsi="Calibri" w:cs="Calibri"/>
          <w:b/>
          <w:bCs/>
          <w:color w:val="000000"/>
          <w:rtl/>
        </w:rPr>
        <w:t>פרטיות כברירת מחדל</w:t>
      </w:r>
    </w:p>
    <w:p w14:paraId="54647FAB" w14:textId="77777777" w:rsidR="003E40A5" w:rsidRPr="00152330" w:rsidRDefault="003E40A5" w:rsidP="003E40A5">
      <w:pPr>
        <w:bidi/>
        <w:spacing w:line="320" w:lineRule="exact"/>
        <w:jc w:val="both"/>
        <w:rPr>
          <w:rFonts w:cstheme="minorHAnsi"/>
          <w:color w:val="000000" w:themeColor="text1"/>
          <w:rtl/>
        </w:rPr>
      </w:pPr>
      <w:r w:rsidRPr="00871831">
        <w:rPr>
          <w:rFonts w:cstheme="minorHAnsi"/>
          <w:color w:val="000000" w:themeColor="text1"/>
          <w:rtl/>
        </w:rPr>
        <w:t>פרטיות כברירת המחדל – תכלית שימוש ספציפית, צמצום מידע עודף, שימוש מוגבל בזמן, מזעור יכולת זיהוי של אדם</w:t>
      </w:r>
      <w:r>
        <w:rPr>
          <w:rFonts w:cstheme="minorHAnsi" w:hint="cs"/>
          <w:color w:val="000000" w:themeColor="text1"/>
          <w:rtl/>
        </w:rPr>
        <w:t>.</w:t>
      </w:r>
    </w:p>
    <w:p w14:paraId="2E829326" w14:textId="77777777" w:rsidR="003E40A5" w:rsidRDefault="003E40A5" w:rsidP="003E40A5">
      <w:pPr>
        <w:bidi/>
        <w:spacing w:line="320" w:lineRule="exact"/>
        <w:jc w:val="both"/>
        <w:rPr>
          <w:rFonts w:ascii="Calibri" w:hAnsi="Calibri" w:cs="Calibri"/>
          <w:b/>
          <w:bCs/>
          <w:color w:val="000000"/>
        </w:rPr>
      </w:pPr>
      <w:r>
        <w:rPr>
          <w:rFonts w:ascii="Calibri" w:hAnsi="Calibri" w:cs="Calibri"/>
          <w:b/>
          <w:bCs/>
          <w:color w:val="000000"/>
          <w:rtl/>
        </w:rPr>
        <w:t>פרטיות מוטמעת משלב התכנון</w:t>
      </w:r>
    </w:p>
    <w:p w14:paraId="6253D771" w14:textId="77777777" w:rsidR="003E40A5" w:rsidRDefault="003E40A5" w:rsidP="003E40A5">
      <w:pPr>
        <w:bidi/>
        <w:spacing w:line="320" w:lineRule="exact"/>
        <w:jc w:val="both"/>
        <w:rPr>
          <w:rFonts w:cstheme="minorHAnsi"/>
          <w:color w:val="000000" w:themeColor="text1"/>
          <w:rtl/>
        </w:rPr>
      </w:pPr>
      <w:r w:rsidRPr="00871831">
        <w:rPr>
          <w:rFonts w:cstheme="minorHAnsi"/>
          <w:color w:val="000000" w:themeColor="text1"/>
          <w:rtl/>
        </w:rPr>
        <w:t>הטמעת פרטיות בעיצוב פתרונות מערכות מידע, בארכיטקטורה של הטכנולוגיה ובפרקטיקה העסקית באופן שבנוי כחלק אינטגרלי של המערכת ובאופן הוליסטי הלוקח בחשבון הקשרים רחבים</w:t>
      </w:r>
      <w:r>
        <w:rPr>
          <w:rFonts w:cstheme="minorHAnsi" w:hint="cs"/>
          <w:color w:val="000000" w:themeColor="text1"/>
          <w:rtl/>
        </w:rPr>
        <w:t>.</w:t>
      </w:r>
    </w:p>
    <w:p w14:paraId="457D048F" w14:textId="77777777" w:rsidR="003E40A5" w:rsidRDefault="003E40A5" w:rsidP="003E40A5">
      <w:pPr>
        <w:bidi/>
        <w:spacing w:line="320" w:lineRule="exact"/>
        <w:jc w:val="both"/>
        <w:rPr>
          <w:rFonts w:ascii="Calibri" w:hAnsi="Calibri" w:cs="Calibri"/>
          <w:b/>
          <w:bCs/>
          <w:color w:val="000000"/>
        </w:rPr>
      </w:pPr>
      <w:r>
        <w:rPr>
          <w:rFonts w:ascii="Calibri" w:hAnsi="Calibri" w:cs="Calibri"/>
          <w:b/>
          <w:bCs/>
          <w:color w:val="000000"/>
          <w:rtl/>
        </w:rPr>
        <w:t>ללא פגיעה בפונקציונליות</w:t>
      </w:r>
    </w:p>
    <w:p w14:paraId="6824BB1D" w14:textId="77777777" w:rsidR="003E40A5" w:rsidRDefault="003E40A5" w:rsidP="003E40A5">
      <w:pPr>
        <w:bidi/>
        <w:spacing w:line="320" w:lineRule="exact"/>
        <w:jc w:val="both"/>
        <w:rPr>
          <w:rFonts w:cstheme="minorHAnsi"/>
          <w:color w:val="000000" w:themeColor="text1"/>
          <w:rtl/>
        </w:rPr>
      </w:pPr>
      <w:r w:rsidRPr="00871831">
        <w:rPr>
          <w:rFonts w:cstheme="minorHAnsi"/>
          <w:color w:val="000000" w:themeColor="text1"/>
          <w:rtl/>
        </w:rPr>
        <w:t>הטמעת פרטיות באופן ששומר על הפונקציונליות המלאה של המוצר, השירות או הטכנולוגיה, תוך הכרה בנחיצותם של אינטרסים נוספים על ערך הפרטיות והשגת כלל המטרות של הפרוייקט</w:t>
      </w:r>
      <w:r>
        <w:rPr>
          <w:rFonts w:cstheme="minorHAnsi" w:hint="cs"/>
          <w:color w:val="000000" w:themeColor="text1"/>
          <w:rtl/>
        </w:rPr>
        <w:t>.</w:t>
      </w:r>
    </w:p>
    <w:p w14:paraId="642B2737" w14:textId="77777777" w:rsidR="003E40A5" w:rsidRDefault="003E40A5" w:rsidP="003E40A5">
      <w:pPr>
        <w:bidi/>
        <w:spacing w:line="320" w:lineRule="exact"/>
        <w:jc w:val="both"/>
        <w:rPr>
          <w:rFonts w:ascii="Calibri" w:hAnsi="Calibri" w:cs="Calibri"/>
          <w:b/>
          <w:bCs/>
          <w:color w:val="000000"/>
        </w:rPr>
      </w:pPr>
      <w:r>
        <w:rPr>
          <w:rFonts w:ascii="Calibri" w:hAnsi="Calibri" w:cs="Calibri"/>
          <w:b/>
          <w:bCs/>
          <w:color w:val="000000"/>
          <w:rtl/>
        </w:rPr>
        <w:t>הגנה מקצה לקצה</w:t>
      </w:r>
    </w:p>
    <w:p w14:paraId="668C6775" w14:textId="77777777" w:rsidR="003E40A5" w:rsidRDefault="003E40A5" w:rsidP="003E40A5">
      <w:pPr>
        <w:bidi/>
        <w:spacing w:line="320" w:lineRule="exact"/>
        <w:jc w:val="both"/>
        <w:rPr>
          <w:rFonts w:cstheme="minorHAnsi"/>
          <w:color w:val="000000" w:themeColor="text1"/>
          <w:rtl/>
        </w:rPr>
      </w:pPr>
      <w:r w:rsidRPr="00871831">
        <w:rPr>
          <w:rFonts w:cstheme="minorHAnsi"/>
          <w:color w:val="000000" w:themeColor="text1"/>
          <w:rtl/>
        </w:rPr>
        <w:t>יישום אבטחת מידע מקצה אל קצה</w:t>
      </w:r>
      <w:r w:rsidRPr="00871831">
        <w:rPr>
          <w:rFonts w:cstheme="minorHAnsi"/>
          <w:color w:val="000000" w:themeColor="text1"/>
        </w:rPr>
        <w:t xml:space="preserve"> (end-to end security) </w:t>
      </w:r>
      <w:r w:rsidRPr="00871831">
        <w:rPr>
          <w:rFonts w:cstheme="minorHAnsi"/>
          <w:color w:val="000000" w:themeColor="text1"/>
          <w:rtl/>
        </w:rPr>
        <w:t>בהסתמך על תקנים מקצועיים מקובלים לרבות השמדה בטוחה של המידע כשאין בו עוד צורך, הצפנות, ניהול הרשאות גישה ותיעוד גישות למידע</w:t>
      </w:r>
      <w:r>
        <w:rPr>
          <w:rFonts w:cstheme="minorHAnsi" w:hint="cs"/>
          <w:color w:val="000000" w:themeColor="text1"/>
          <w:rtl/>
        </w:rPr>
        <w:t>.</w:t>
      </w:r>
    </w:p>
    <w:p w14:paraId="3369E4B9" w14:textId="77777777" w:rsidR="003E40A5" w:rsidRPr="00871831" w:rsidRDefault="003E40A5" w:rsidP="003E40A5">
      <w:pPr>
        <w:bidi/>
        <w:spacing w:line="320" w:lineRule="exact"/>
        <w:jc w:val="both"/>
        <w:rPr>
          <w:rFonts w:ascii="Calibri" w:hAnsi="Calibri" w:cs="Calibri"/>
          <w:b/>
          <w:bCs/>
          <w:color w:val="000000"/>
        </w:rPr>
      </w:pPr>
      <w:r>
        <w:rPr>
          <w:rFonts w:ascii="Calibri" w:hAnsi="Calibri" w:cs="Calibri"/>
          <w:b/>
          <w:bCs/>
          <w:color w:val="000000"/>
          <w:rtl/>
        </w:rPr>
        <w:t>שקיפות</w:t>
      </w:r>
    </w:p>
    <w:p w14:paraId="0078524C" w14:textId="77777777" w:rsidR="003E40A5" w:rsidRDefault="003E40A5" w:rsidP="003E40A5">
      <w:pPr>
        <w:bidi/>
        <w:spacing w:line="320" w:lineRule="exact"/>
        <w:jc w:val="both"/>
        <w:rPr>
          <w:rFonts w:cstheme="minorHAnsi"/>
          <w:color w:val="000000" w:themeColor="text1"/>
          <w:rtl/>
        </w:rPr>
      </w:pPr>
      <w:r w:rsidRPr="00871831">
        <w:rPr>
          <w:rFonts w:cstheme="minorHAnsi"/>
          <w:color w:val="000000" w:themeColor="text1"/>
          <w:rtl/>
        </w:rPr>
        <w:t>שמירה על שקיפות ועל נראות כחלק מיצירת אחריותיות ואמון, פרסום נהלי עבודה, יצירת ערוץ הגשת תלונות ודרישת פיצוי על נזק ופיקוח על ציות לנהלים</w:t>
      </w:r>
      <w:r>
        <w:rPr>
          <w:rFonts w:cstheme="minorHAnsi" w:hint="cs"/>
          <w:color w:val="000000" w:themeColor="text1"/>
          <w:rtl/>
        </w:rPr>
        <w:t>.</w:t>
      </w:r>
    </w:p>
    <w:p w14:paraId="22F9CCDB" w14:textId="77777777" w:rsidR="003E40A5" w:rsidRDefault="003E40A5" w:rsidP="003E40A5">
      <w:pPr>
        <w:bidi/>
        <w:spacing w:line="320" w:lineRule="exact"/>
        <w:jc w:val="both"/>
        <w:rPr>
          <w:rFonts w:ascii="Calibri" w:hAnsi="Calibri" w:cs="Calibri"/>
          <w:b/>
          <w:bCs/>
          <w:color w:val="000000"/>
        </w:rPr>
      </w:pPr>
      <w:r>
        <w:rPr>
          <w:rFonts w:ascii="Calibri" w:hAnsi="Calibri" w:cs="Calibri"/>
          <w:b/>
          <w:bCs/>
          <w:color w:val="000000"/>
          <w:rtl/>
        </w:rPr>
        <w:t>פרטיות המשתמש במרכז</w:t>
      </w:r>
    </w:p>
    <w:p w14:paraId="6434BD95" w14:textId="77777777" w:rsidR="003E40A5" w:rsidRDefault="003E40A5" w:rsidP="003E40A5">
      <w:pPr>
        <w:bidi/>
        <w:spacing w:line="320" w:lineRule="exact"/>
        <w:jc w:val="both"/>
        <w:rPr>
          <w:rFonts w:cstheme="minorHAnsi"/>
          <w:color w:val="000000" w:themeColor="text1"/>
          <w:rtl/>
        </w:rPr>
      </w:pPr>
      <w:r w:rsidRPr="00871831">
        <w:rPr>
          <w:rFonts w:cstheme="minorHAnsi"/>
          <w:color w:val="000000" w:themeColor="text1"/>
          <w:rtl/>
        </w:rPr>
        <w:t xml:space="preserve">מתן כבוד לפרטיות המשתמש וטובתו על ידי קבלת הסכמה לשימוש במידע כאשר אין הסדר חוקי מאפשר. הקפדה על אמינות המידע. מתן גישה למידע ודרכי יצירת קשר לציבור וערעור על החלטות.   </w:t>
      </w:r>
    </w:p>
    <w:p w14:paraId="5659E22B" w14:textId="77777777" w:rsidR="003E40A5" w:rsidRDefault="003E40A5" w:rsidP="003E40A5">
      <w:pPr>
        <w:bidi/>
        <w:spacing w:line="320" w:lineRule="exact"/>
        <w:jc w:val="both"/>
        <w:rPr>
          <w:rFonts w:ascii="Calibri" w:hAnsi="Calibri" w:cs="Calibri"/>
          <w:b/>
          <w:bCs/>
          <w:color w:val="000000"/>
        </w:rPr>
      </w:pPr>
      <w:r>
        <w:rPr>
          <w:rFonts w:ascii="Calibri" w:hAnsi="Calibri" w:cs="Calibri"/>
          <w:b/>
          <w:bCs/>
          <w:color w:val="000000"/>
          <w:rtl/>
        </w:rPr>
        <w:t>אחריותיות</w:t>
      </w:r>
      <w:r>
        <w:rPr>
          <w:rFonts w:ascii="Calibri" w:hAnsi="Calibri" w:cs="Calibri" w:hint="cs"/>
          <w:b/>
          <w:bCs/>
          <w:color w:val="000000"/>
          <w:rtl/>
        </w:rPr>
        <w:t xml:space="preserve"> (תוספת למודל של הח״מ)</w:t>
      </w:r>
    </w:p>
    <w:p w14:paraId="51467678" w14:textId="77777777" w:rsidR="003E40A5" w:rsidRPr="00233EAE" w:rsidRDefault="003E40A5" w:rsidP="003E40A5">
      <w:pPr>
        <w:bidi/>
        <w:spacing w:before="240" w:after="240" w:line="320" w:lineRule="exact"/>
        <w:jc w:val="both"/>
        <w:rPr>
          <w:rFonts w:asciiTheme="minorHAnsi" w:hAnsiTheme="minorHAnsi" w:cstheme="minorHAnsi"/>
          <w:rtl/>
        </w:rPr>
      </w:pPr>
      <w:r w:rsidRPr="00233EAE">
        <w:rPr>
          <w:rFonts w:asciiTheme="minorHAnsi" w:hAnsiTheme="minorHAnsi" w:cstheme="minorHAnsi" w:hint="cs"/>
          <w:color w:val="000000" w:themeColor="text1"/>
          <w:rtl/>
        </w:rPr>
        <w:t xml:space="preserve">בחינת </w:t>
      </w:r>
      <w:r w:rsidRPr="00233EAE">
        <w:rPr>
          <w:rFonts w:asciiTheme="minorHAnsi" w:hAnsiTheme="minorHAnsi" w:cstheme="minorHAnsi"/>
          <w:color w:val="000000" w:themeColor="text1"/>
          <w:rtl/>
        </w:rPr>
        <w:t xml:space="preserve">ההסדר </w:t>
      </w:r>
      <w:r w:rsidRPr="00233EAE">
        <w:rPr>
          <w:rFonts w:asciiTheme="minorHAnsi" w:hAnsiTheme="minorHAnsi" w:cstheme="minorHAnsi" w:hint="cs"/>
          <w:color w:val="000000" w:themeColor="text1"/>
          <w:rtl/>
        </w:rPr>
        <w:t xml:space="preserve">מגלה, שהוא </w:t>
      </w:r>
      <w:r w:rsidRPr="00233EAE">
        <w:rPr>
          <w:rFonts w:asciiTheme="minorHAnsi" w:hAnsiTheme="minorHAnsi" w:cstheme="minorHAnsi"/>
          <w:color w:val="000000" w:themeColor="text1"/>
          <w:rtl/>
        </w:rPr>
        <w:t xml:space="preserve">מכיל כמה מעגלי בקרה והגנה על זכויותיהם של אנשים: </w:t>
      </w:r>
      <w:r w:rsidRPr="00233EAE">
        <w:rPr>
          <w:rFonts w:asciiTheme="minorHAnsi" w:hAnsiTheme="minorHAnsi" w:cstheme="minorHAnsi"/>
          <w:rtl/>
        </w:rPr>
        <w:t>פרוצדורליים, טכנולוגיים ונורמטיביים, הכוללים יישומים מגוונים של עקרונות</w:t>
      </w:r>
      <w:r w:rsidRPr="00233EAE">
        <w:rPr>
          <w:rFonts w:asciiTheme="minorHAnsi" w:hAnsiTheme="minorHAnsi" w:cstheme="minorHAnsi" w:hint="cs"/>
          <w:rtl/>
        </w:rPr>
        <w:t xml:space="preserve"> </w:t>
      </w:r>
      <w:r w:rsidRPr="00233EAE">
        <w:rPr>
          <w:rFonts w:asciiTheme="minorHAnsi" w:hAnsiTheme="minorHAnsi" w:cstheme="minorHAnsi"/>
        </w:rPr>
        <w:t>PbD</w:t>
      </w:r>
      <w:r w:rsidRPr="00233EAE">
        <w:rPr>
          <w:rFonts w:asciiTheme="minorHAnsi" w:hAnsiTheme="minorHAnsi" w:cstheme="minorHAnsi"/>
          <w:rtl/>
        </w:rPr>
        <w:t xml:space="preserve">, </w:t>
      </w:r>
      <w:r w:rsidRPr="00233EAE">
        <w:rPr>
          <w:rFonts w:asciiTheme="minorHAnsi" w:hAnsiTheme="minorHAnsi" w:cstheme="minorHAnsi" w:hint="cs"/>
          <w:rtl/>
        </w:rPr>
        <w:t>כפי שיפורט להלן:</w:t>
      </w:r>
    </w:p>
    <w:p w14:paraId="173BB42F" w14:textId="77777777" w:rsidR="003E40A5" w:rsidRPr="00FD3020" w:rsidRDefault="003E40A5" w:rsidP="003E40A5">
      <w:pPr>
        <w:spacing w:before="240" w:after="240" w:line="320" w:lineRule="exact"/>
        <w:jc w:val="right"/>
        <w:rPr>
          <w:rFonts w:asciiTheme="minorHAnsi" w:hAnsiTheme="minorHAnsi" w:cstheme="minorHAnsi"/>
          <w:b/>
          <w:bCs/>
          <w:rtl/>
        </w:rPr>
      </w:pPr>
      <w:r w:rsidRPr="00157399">
        <w:rPr>
          <w:rFonts w:asciiTheme="minorHAnsi" w:hAnsiTheme="minorHAnsi" w:cstheme="minorHAnsi"/>
          <w:rtl/>
        </w:rPr>
        <w:t xml:space="preserve"> </w:t>
      </w:r>
      <w:r w:rsidRPr="00FD3020">
        <w:rPr>
          <w:rFonts w:asciiTheme="minorHAnsi" w:hAnsiTheme="minorHAnsi" w:cs="Calibri"/>
          <w:b/>
          <w:bCs/>
          <w:rtl/>
        </w:rPr>
        <w:t>יוזמה ומניעה</w:t>
      </w:r>
    </w:p>
    <w:p w14:paraId="687C39B3" w14:textId="77777777" w:rsidR="003E40A5" w:rsidRPr="005418D8" w:rsidRDefault="003E40A5" w:rsidP="003E40A5">
      <w:pPr>
        <w:pStyle w:val="ListParagraph"/>
        <w:numPr>
          <w:ilvl w:val="0"/>
          <w:numId w:val="14"/>
        </w:numPr>
        <w:bidi/>
        <w:spacing w:before="240" w:after="240" w:line="320" w:lineRule="exact"/>
        <w:jc w:val="both"/>
        <w:rPr>
          <w:rFonts w:cstheme="minorHAnsi"/>
          <w:sz w:val="24"/>
          <w:szCs w:val="24"/>
          <w:rtl/>
        </w:rPr>
      </w:pPr>
      <w:r w:rsidRPr="005418D8">
        <w:rPr>
          <w:rFonts w:cs="Calibri"/>
          <w:sz w:val="24"/>
          <w:szCs w:val="24"/>
          <w:rtl/>
          <w:lang w:bidi="he-IL"/>
        </w:rPr>
        <w:t>התכנית לבריאות דיגיטלית</w:t>
      </w:r>
      <w:r w:rsidRPr="005418D8">
        <w:rPr>
          <w:rFonts w:cs="Calibri"/>
          <w:sz w:val="24"/>
          <w:szCs w:val="24"/>
          <w:rtl/>
        </w:rPr>
        <w:t xml:space="preserve">, </w:t>
      </w:r>
      <w:r w:rsidRPr="005418D8">
        <w:rPr>
          <w:rFonts w:cs="Calibri"/>
          <w:sz w:val="24"/>
          <w:szCs w:val="24"/>
          <w:rtl/>
          <w:lang w:bidi="he-IL"/>
        </w:rPr>
        <w:t>המועצה לבריאות דיגיטלית וועדת המשנה לבריאות דיגיטלית</w:t>
      </w:r>
      <w:r w:rsidRPr="005418D8">
        <w:rPr>
          <w:rFonts w:cs="Calibri"/>
          <w:sz w:val="24"/>
          <w:szCs w:val="24"/>
          <w:rtl/>
        </w:rPr>
        <w:t xml:space="preserve">, </w:t>
      </w:r>
      <w:r w:rsidRPr="005418D8">
        <w:rPr>
          <w:rFonts w:cs="Calibri"/>
          <w:sz w:val="24"/>
          <w:szCs w:val="24"/>
          <w:rtl/>
          <w:lang w:bidi="he-IL"/>
        </w:rPr>
        <w:t>החלטת הממשלה וההסדר לקחו בחשבון מראש את הזכות לפרטיות</w:t>
      </w:r>
      <w:r w:rsidRPr="005418D8">
        <w:rPr>
          <w:rFonts w:cs="Calibri"/>
          <w:sz w:val="24"/>
          <w:szCs w:val="24"/>
          <w:rtl/>
        </w:rPr>
        <w:t xml:space="preserve">, </w:t>
      </w:r>
      <w:r w:rsidRPr="005418D8">
        <w:rPr>
          <w:rFonts w:cs="Calibri"/>
          <w:sz w:val="24"/>
          <w:szCs w:val="24"/>
          <w:rtl/>
          <w:lang w:bidi="he-IL"/>
        </w:rPr>
        <w:t>בחנו את הסיכונים וגיבשו פתרונות להפחתת הסיכונים והפגיעות האפשריות</w:t>
      </w:r>
    </w:p>
    <w:p w14:paraId="00BE84F0" w14:textId="77777777" w:rsidR="003E40A5" w:rsidRPr="005418D8" w:rsidRDefault="003E40A5" w:rsidP="003E40A5">
      <w:pPr>
        <w:pStyle w:val="ListParagraph"/>
        <w:numPr>
          <w:ilvl w:val="0"/>
          <w:numId w:val="14"/>
        </w:numPr>
        <w:bidi/>
        <w:spacing w:before="240" w:after="240" w:line="320" w:lineRule="exact"/>
        <w:jc w:val="both"/>
        <w:rPr>
          <w:rFonts w:cstheme="minorHAnsi"/>
          <w:sz w:val="24"/>
          <w:szCs w:val="24"/>
          <w:rtl/>
        </w:rPr>
      </w:pPr>
      <w:r w:rsidRPr="005418D8">
        <w:rPr>
          <w:rFonts w:cs="Calibri" w:hint="cs"/>
          <w:sz w:val="24"/>
          <w:szCs w:val="24"/>
          <w:rtl/>
          <w:lang w:bidi="he-IL"/>
        </w:rPr>
        <w:t xml:space="preserve">יש לבצע </w:t>
      </w:r>
      <w:r w:rsidRPr="005418D8">
        <w:rPr>
          <w:rFonts w:cs="Calibri"/>
          <w:sz w:val="24"/>
          <w:szCs w:val="24"/>
          <w:rtl/>
          <w:lang w:bidi="he-IL"/>
        </w:rPr>
        <w:t>ניתוח הערכת סיכונים בכל בקשה</w:t>
      </w:r>
      <w:r w:rsidRPr="005418D8">
        <w:rPr>
          <w:rFonts w:cs="Calibri" w:hint="cs"/>
          <w:sz w:val="24"/>
          <w:szCs w:val="24"/>
          <w:rtl/>
          <w:lang w:bidi="he-IL"/>
        </w:rPr>
        <w:t xml:space="preserve"> </w:t>
      </w:r>
      <w:r>
        <w:rPr>
          <w:rFonts w:cs="Calibri" w:hint="cs"/>
          <w:sz w:val="24"/>
          <w:szCs w:val="24"/>
          <w:rtl/>
          <w:lang w:bidi="he-IL"/>
        </w:rPr>
        <w:t>ושימוש יאושר אם התועלת הצפויה מהמחקר עולה על הסיכון</w:t>
      </w:r>
    </w:p>
    <w:p w14:paraId="27FE96CC" w14:textId="77777777" w:rsidR="003E40A5" w:rsidRPr="005418D8" w:rsidRDefault="003E40A5" w:rsidP="003E40A5">
      <w:pPr>
        <w:pStyle w:val="ListParagraph"/>
        <w:numPr>
          <w:ilvl w:val="0"/>
          <w:numId w:val="14"/>
        </w:numPr>
        <w:bidi/>
        <w:spacing w:before="240" w:after="240" w:line="320" w:lineRule="exact"/>
        <w:jc w:val="both"/>
        <w:rPr>
          <w:rFonts w:cstheme="minorHAnsi"/>
          <w:sz w:val="24"/>
          <w:szCs w:val="24"/>
          <w:rtl/>
        </w:rPr>
      </w:pPr>
      <w:r w:rsidRPr="005418D8">
        <w:rPr>
          <w:rFonts w:cs="Calibri" w:hint="cs"/>
          <w:sz w:val="24"/>
          <w:szCs w:val="24"/>
          <w:rtl/>
          <w:lang w:bidi="he-IL"/>
        </w:rPr>
        <w:t>יש לבחור</w:t>
      </w:r>
      <w:r w:rsidRPr="005418D8">
        <w:rPr>
          <w:rFonts w:cs="Calibri"/>
          <w:sz w:val="24"/>
          <w:szCs w:val="24"/>
          <w:rtl/>
          <w:lang w:bidi="he-IL"/>
        </w:rPr>
        <w:t xml:space="preserve"> אמצעים הולמים </w:t>
      </w:r>
      <w:r w:rsidRPr="005418D8">
        <w:rPr>
          <w:rFonts w:cs="Calibri" w:hint="cs"/>
          <w:sz w:val="24"/>
          <w:szCs w:val="24"/>
          <w:rtl/>
          <w:lang w:bidi="he-IL"/>
        </w:rPr>
        <w:t>להפחתת סיכון הזיהוי מחדש של אנשים</w:t>
      </w:r>
      <w:r w:rsidRPr="005418D8">
        <w:rPr>
          <w:rFonts w:cs="Calibri"/>
          <w:sz w:val="24"/>
          <w:szCs w:val="24"/>
          <w:rtl/>
        </w:rPr>
        <w:t xml:space="preserve"> </w:t>
      </w:r>
      <w:r w:rsidRPr="005418D8">
        <w:rPr>
          <w:rFonts w:cs="Calibri" w:hint="cs"/>
          <w:sz w:val="24"/>
          <w:szCs w:val="24"/>
          <w:rtl/>
          <w:lang w:bidi="he-IL"/>
        </w:rPr>
        <w:t xml:space="preserve">באמצעות </w:t>
      </w:r>
      <w:r w:rsidRPr="005418D8">
        <w:rPr>
          <w:rFonts w:cs="Calibri"/>
          <w:sz w:val="24"/>
          <w:szCs w:val="24"/>
          <w:rtl/>
          <w:lang w:bidi="he-IL"/>
        </w:rPr>
        <w:t>מודל התממה והצפנה מסוגים שונים</w:t>
      </w:r>
      <w:r w:rsidRPr="005418D8">
        <w:rPr>
          <w:rFonts w:cstheme="minorHAnsi"/>
          <w:sz w:val="24"/>
          <w:szCs w:val="24"/>
        </w:rPr>
        <w:t xml:space="preserve"> </w:t>
      </w:r>
    </w:p>
    <w:p w14:paraId="6CEBDF02" w14:textId="77777777" w:rsidR="003E40A5" w:rsidRPr="005418D8" w:rsidRDefault="003E40A5" w:rsidP="003E40A5">
      <w:pPr>
        <w:pStyle w:val="ListParagraph"/>
        <w:numPr>
          <w:ilvl w:val="0"/>
          <w:numId w:val="14"/>
        </w:numPr>
        <w:bidi/>
        <w:spacing w:before="240" w:after="240" w:line="320" w:lineRule="exact"/>
        <w:jc w:val="both"/>
        <w:rPr>
          <w:rFonts w:cstheme="minorHAnsi"/>
          <w:sz w:val="24"/>
          <w:szCs w:val="24"/>
          <w:rtl/>
        </w:rPr>
      </w:pPr>
      <w:r w:rsidRPr="005418D8">
        <w:rPr>
          <w:rFonts w:cs="Calibri" w:hint="cs"/>
          <w:sz w:val="24"/>
          <w:szCs w:val="24"/>
          <w:rtl/>
          <w:lang w:bidi="he-IL"/>
        </w:rPr>
        <w:t>יש ל</w:t>
      </w:r>
      <w:r w:rsidRPr="005418D8">
        <w:rPr>
          <w:rFonts w:cs="Calibri"/>
          <w:sz w:val="24"/>
          <w:szCs w:val="24"/>
          <w:rtl/>
          <w:lang w:bidi="he-IL"/>
        </w:rPr>
        <w:t>צמצם מידע עודף</w:t>
      </w:r>
    </w:p>
    <w:p w14:paraId="2FD73F55" w14:textId="77777777" w:rsidR="003E40A5" w:rsidRPr="005418D8" w:rsidRDefault="003E40A5" w:rsidP="003E40A5">
      <w:pPr>
        <w:pStyle w:val="ListParagraph"/>
        <w:numPr>
          <w:ilvl w:val="0"/>
          <w:numId w:val="14"/>
        </w:numPr>
        <w:bidi/>
        <w:spacing w:before="240" w:after="240" w:line="320" w:lineRule="exact"/>
        <w:jc w:val="both"/>
        <w:rPr>
          <w:rFonts w:cstheme="minorHAnsi"/>
          <w:sz w:val="24"/>
          <w:szCs w:val="24"/>
          <w:rtl/>
        </w:rPr>
      </w:pPr>
      <w:r w:rsidRPr="005418D8">
        <w:rPr>
          <w:rFonts w:cs="Calibri" w:hint="cs"/>
          <w:sz w:val="24"/>
          <w:szCs w:val="24"/>
          <w:rtl/>
          <w:lang w:bidi="he-IL"/>
        </w:rPr>
        <w:t xml:space="preserve">על ארגוני הבריאות לכרות </w:t>
      </w:r>
      <w:r w:rsidRPr="005418D8">
        <w:rPr>
          <w:rFonts w:cs="Calibri"/>
          <w:sz w:val="24"/>
          <w:szCs w:val="24"/>
          <w:rtl/>
          <w:lang w:bidi="he-IL"/>
        </w:rPr>
        <w:t>הסדרים חוזיים מחייבים ע</w:t>
      </w:r>
      <w:r w:rsidRPr="005418D8">
        <w:rPr>
          <w:rFonts w:cs="Calibri" w:hint="cs"/>
          <w:sz w:val="24"/>
          <w:szCs w:val="24"/>
          <w:rtl/>
          <w:lang w:bidi="he-IL"/>
        </w:rPr>
        <w:t xml:space="preserve">ם </w:t>
      </w:r>
      <w:r w:rsidRPr="005418D8">
        <w:rPr>
          <w:rFonts w:cs="Calibri"/>
          <w:sz w:val="24"/>
          <w:szCs w:val="24"/>
          <w:rtl/>
          <w:lang w:bidi="he-IL"/>
        </w:rPr>
        <w:t>החוקרים</w:t>
      </w:r>
      <w:r w:rsidRPr="005418D8">
        <w:rPr>
          <w:rFonts w:cs="Calibri"/>
          <w:sz w:val="24"/>
          <w:szCs w:val="24"/>
          <w:rtl/>
        </w:rPr>
        <w:t xml:space="preserve">, </w:t>
      </w:r>
      <w:r w:rsidRPr="005418D8">
        <w:rPr>
          <w:rFonts w:cs="Calibri" w:hint="cs"/>
          <w:sz w:val="24"/>
          <w:szCs w:val="24"/>
          <w:rtl/>
          <w:lang w:bidi="he-IL"/>
        </w:rPr>
        <w:t>ל</w:t>
      </w:r>
      <w:r w:rsidRPr="005418D8">
        <w:rPr>
          <w:rFonts w:cs="Calibri"/>
          <w:sz w:val="24"/>
          <w:szCs w:val="24"/>
          <w:rtl/>
          <w:lang w:bidi="he-IL"/>
        </w:rPr>
        <w:t>אכפ</w:t>
      </w:r>
      <w:r w:rsidRPr="005418D8">
        <w:rPr>
          <w:rFonts w:cs="Calibri" w:hint="cs"/>
          <w:sz w:val="24"/>
          <w:szCs w:val="24"/>
          <w:rtl/>
          <w:lang w:bidi="he-IL"/>
        </w:rPr>
        <w:t>ם</w:t>
      </w:r>
      <w:r w:rsidRPr="005418D8">
        <w:rPr>
          <w:rFonts w:cs="Calibri"/>
          <w:sz w:val="24"/>
          <w:szCs w:val="24"/>
          <w:rtl/>
          <w:lang w:bidi="he-IL"/>
        </w:rPr>
        <w:t xml:space="preserve"> על ארגוני הבריאות ו</w:t>
      </w:r>
      <w:r w:rsidRPr="005418D8">
        <w:rPr>
          <w:rFonts w:cs="Calibri" w:hint="cs"/>
          <w:sz w:val="24"/>
          <w:szCs w:val="24"/>
          <w:rtl/>
          <w:lang w:bidi="he-IL"/>
        </w:rPr>
        <w:t xml:space="preserve">ישנן </w:t>
      </w:r>
      <w:r w:rsidRPr="005418D8">
        <w:rPr>
          <w:rFonts w:cs="Calibri"/>
          <w:sz w:val="24"/>
          <w:szCs w:val="24"/>
          <w:rtl/>
          <w:lang w:bidi="he-IL"/>
        </w:rPr>
        <w:t>סנקציות על הפרה שלהם</w:t>
      </w:r>
    </w:p>
    <w:p w14:paraId="6FA57BD0" w14:textId="77777777" w:rsidR="003E40A5" w:rsidRPr="005418D8" w:rsidRDefault="003E40A5" w:rsidP="003E40A5">
      <w:pPr>
        <w:pStyle w:val="ListParagraph"/>
        <w:numPr>
          <w:ilvl w:val="0"/>
          <w:numId w:val="14"/>
        </w:numPr>
        <w:bidi/>
        <w:spacing w:before="240" w:after="240" w:line="320" w:lineRule="exact"/>
        <w:jc w:val="both"/>
        <w:rPr>
          <w:rFonts w:cstheme="minorHAnsi"/>
          <w:sz w:val="24"/>
          <w:szCs w:val="24"/>
        </w:rPr>
      </w:pPr>
      <w:r w:rsidRPr="005418D8">
        <w:rPr>
          <w:rFonts w:cs="Calibri" w:hint="cs"/>
          <w:sz w:val="24"/>
          <w:szCs w:val="24"/>
          <w:rtl/>
          <w:lang w:bidi="he-IL"/>
        </w:rPr>
        <w:t xml:space="preserve">נדרשת </w:t>
      </w:r>
      <w:r w:rsidRPr="005418D8">
        <w:rPr>
          <w:rFonts w:cs="Calibri"/>
          <w:sz w:val="24"/>
          <w:szCs w:val="24"/>
          <w:rtl/>
          <w:lang w:bidi="he-IL"/>
        </w:rPr>
        <w:t>בדיקה תקופתית של נאותות מנגנון ההתממה</w:t>
      </w:r>
    </w:p>
    <w:p w14:paraId="3A8BD5E5" w14:textId="77777777" w:rsidR="003E40A5" w:rsidRDefault="003E40A5" w:rsidP="003E40A5">
      <w:pPr>
        <w:bidi/>
        <w:spacing w:line="320" w:lineRule="exact"/>
        <w:jc w:val="both"/>
        <w:rPr>
          <w:rFonts w:ascii="Calibri" w:hAnsi="Calibri" w:cs="Calibri"/>
          <w:b/>
          <w:bCs/>
          <w:color w:val="000000"/>
        </w:rPr>
      </w:pPr>
      <w:r>
        <w:rPr>
          <w:rFonts w:ascii="Calibri" w:hAnsi="Calibri" w:cs="Calibri"/>
          <w:b/>
          <w:bCs/>
          <w:color w:val="000000"/>
          <w:rtl/>
        </w:rPr>
        <w:t>פרטיות כברירת מחדל</w:t>
      </w:r>
    </w:p>
    <w:p w14:paraId="21998B6F"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 xml:space="preserve">חובת בחינת מטרת המחקר במידע המבוקש והאם </w:t>
      </w:r>
      <w:r w:rsidRPr="005418D8">
        <w:rPr>
          <w:rFonts w:cs="Calibri" w:hint="cs"/>
          <w:sz w:val="24"/>
          <w:szCs w:val="24"/>
          <w:rtl/>
          <w:lang w:bidi="he-IL"/>
        </w:rPr>
        <w:t>ה</w:t>
      </w:r>
      <w:r>
        <w:rPr>
          <w:rFonts w:cs="Calibri" w:hint="cs"/>
          <w:sz w:val="24"/>
          <w:szCs w:val="24"/>
          <w:rtl/>
          <w:lang w:bidi="he-IL"/>
        </w:rPr>
        <w:t>שימוש יועיל לבריאות הפרט או הציבור, תתרום לשיפור איכות שירותי הבריאות או הרפואה או המחקר הרפואי או קידום הידע האנושי בתחום הבריאות</w:t>
      </w:r>
    </w:p>
    <w:p w14:paraId="1A86E19E"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ניתוח המידע המבוקש על ידי החוקר ובחינת נחיצותו להגשמת מטרת המחקר</w:t>
      </w:r>
    </w:p>
    <w:p w14:paraId="438A1808"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הגבלת השימוש במידע עד שנתיים וחובות מחיקה לאחר סיומו</w:t>
      </w:r>
    </w:p>
    <w:p w14:paraId="23C8B623" w14:textId="77777777" w:rsidR="003E40A5" w:rsidRPr="00F8435B"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צמצום אפשרות הזיהוי מחדש של אנשים</w:t>
      </w:r>
    </w:p>
    <w:p w14:paraId="66001E46" w14:textId="77777777" w:rsidR="003E40A5" w:rsidRDefault="003E40A5" w:rsidP="003E40A5">
      <w:pPr>
        <w:bidi/>
        <w:spacing w:line="320" w:lineRule="exact"/>
        <w:jc w:val="both"/>
        <w:rPr>
          <w:rFonts w:ascii="Calibri" w:hAnsi="Calibri" w:cs="Calibri"/>
          <w:b/>
          <w:bCs/>
          <w:color w:val="000000"/>
        </w:rPr>
      </w:pPr>
      <w:r>
        <w:rPr>
          <w:rFonts w:ascii="Calibri" w:hAnsi="Calibri" w:cs="Calibri"/>
          <w:b/>
          <w:bCs/>
          <w:color w:val="000000"/>
          <w:rtl/>
        </w:rPr>
        <w:t>פרטיות מוטמעת משלב התכנון</w:t>
      </w:r>
    </w:p>
    <w:p w14:paraId="2D966129" w14:textId="77777777" w:rsidR="003E40A5" w:rsidRDefault="003E40A5" w:rsidP="003E40A5">
      <w:pPr>
        <w:pStyle w:val="ListParagraph"/>
        <w:numPr>
          <w:ilvl w:val="0"/>
          <w:numId w:val="14"/>
        </w:numPr>
        <w:bidi/>
        <w:spacing w:before="240" w:after="240" w:line="320" w:lineRule="exact"/>
        <w:jc w:val="both"/>
        <w:rPr>
          <w:rFonts w:cs="Calibri"/>
          <w:sz w:val="24"/>
          <w:szCs w:val="24"/>
        </w:rPr>
      </w:pPr>
      <w:r>
        <w:rPr>
          <w:rFonts w:cs="Calibri" w:hint="cs"/>
          <w:sz w:val="24"/>
          <w:szCs w:val="24"/>
          <w:rtl/>
          <w:lang w:bidi="he-IL"/>
        </w:rPr>
        <w:t>ברירת המחדל היא שימוש במידע מותמם בלבד</w:t>
      </w:r>
    </w:p>
    <w:p w14:paraId="7D1A33CA"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 xml:space="preserve">ברירת </w:t>
      </w:r>
      <w:r w:rsidRPr="005418D8">
        <w:rPr>
          <w:rFonts w:cs="Calibri" w:hint="cs"/>
          <w:sz w:val="24"/>
          <w:szCs w:val="24"/>
          <w:rtl/>
          <w:lang w:bidi="he-IL"/>
        </w:rPr>
        <w:t>ה</w:t>
      </w:r>
      <w:r w:rsidRPr="005418D8">
        <w:rPr>
          <w:rFonts w:cs="Calibri"/>
          <w:sz w:val="24"/>
          <w:szCs w:val="24"/>
          <w:rtl/>
          <w:lang w:bidi="he-IL"/>
        </w:rPr>
        <w:t xml:space="preserve">מחדל </w:t>
      </w:r>
      <w:r w:rsidRPr="005418D8">
        <w:rPr>
          <w:rFonts w:cs="Calibri" w:hint="cs"/>
          <w:sz w:val="24"/>
          <w:szCs w:val="24"/>
          <w:rtl/>
          <w:lang w:bidi="he-IL"/>
        </w:rPr>
        <w:t xml:space="preserve">היא </w:t>
      </w:r>
      <w:r w:rsidRPr="005418D8">
        <w:rPr>
          <w:rFonts w:cs="Calibri"/>
          <w:sz w:val="24"/>
          <w:szCs w:val="24"/>
          <w:rtl/>
          <w:lang w:bidi="he-IL"/>
        </w:rPr>
        <w:t>מתן גישה למידע ולא מסיר</w:t>
      </w:r>
      <w:r w:rsidRPr="005418D8">
        <w:rPr>
          <w:rFonts w:cs="Calibri" w:hint="cs"/>
          <w:sz w:val="24"/>
          <w:szCs w:val="24"/>
          <w:rtl/>
          <w:lang w:bidi="he-IL"/>
        </w:rPr>
        <w:t>תו</w:t>
      </w:r>
    </w:p>
    <w:p w14:paraId="7141BAAD"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 xml:space="preserve">ברירת </w:t>
      </w:r>
      <w:r w:rsidRPr="005418D8">
        <w:rPr>
          <w:rFonts w:cs="Calibri" w:hint="cs"/>
          <w:sz w:val="24"/>
          <w:szCs w:val="24"/>
          <w:rtl/>
          <w:lang w:bidi="he-IL"/>
        </w:rPr>
        <w:t>ה</w:t>
      </w:r>
      <w:r w:rsidRPr="005418D8">
        <w:rPr>
          <w:rFonts w:cs="Calibri"/>
          <w:sz w:val="24"/>
          <w:szCs w:val="24"/>
          <w:rtl/>
          <w:lang w:bidi="he-IL"/>
        </w:rPr>
        <w:t xml:space="preserve">מחדל </w:t>
      </w:r>
      <w:r w:rsidRPr="005418D8">
        <w:rPr>
          <w:rFonts w:cs="Calibri" w:hint="cs"/>
          <w:sz w:val="24"/>
          <w:szCs w:val="24"/>
          <w:rtl/>
          <w:lang w:bidi="he-IL"/>
        </w:rPr>
        <w:t xml:space="preserve">היא </w:t>
      </w:r>
      <w:r w:rsidRPr="005418D8">
        <w:rPr>
          <w:rFonts w:cs="Calibri"/>
          <w:sz w:val="24"/>
          <w:szCs w:val="24"/>
          <w:rtl/>
          <w:lang w:bidi="he-IL"/>
        </w:rPr>
        <w:t>ביצוע המחקר בחדר מחקר וירטואלי (בתשתית מחשוב) בשליטת ארגון הבריאות</w:t>
      </w:r>
    </w:p>
    <w:p w14:paraId="01A36714"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Pr>
      </w:pPr>
      <w:r w:rsidRPr="005418D8">
        <w:rPr>
          <w:rFonts w:cs="Calibri" w:hint="cs"/>
          <w:sz w:val="24"/>
          <w:szCs w:val="24"/>
          <w:rtl/>
          <w:lang w:bidi="he-IL"/>
        </w:rPr>
        <w:t>ברירת המחדל היא השארת השליטה על ניהול המחקר בישראל</w:t>
      </w:r>
    </w:p>
    <w:p w14:paraId="74B610DA"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הקמת תשתיות מחשוב בשליטת ארגוני הבריאות בישראל במימון הממשלה</w:t>
      </w:r>
    </w:p>
    <w:p w14:paraId="07B169F2"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בשלב בחינת הבקשה</w:t>
      </w:r>
      <w:r w:rsidRPr="005418D8">
        <w:rPr>
          <w:rFonts w:cs="Calibri" w:hint="cs"/>
          <w:sz w:val="24"/>
          <w:szCs w:val="24"/>
          <w:rtl/>
          <w:lang w:bidi="he-IL"/>
        </w:rPr>
        <w:t xml:space="preserve"> נדרש לבחון</w:t>
      </w:r>
      <w:r w:rsidRPr="005418D8">
        <w:rPr>
          <w:rFonts w:cs="Calibri"/>
          <w:sz w:val="24"/>
          <w:szCs w:val="24"/>
          <w:rtl/>
          <w:lang w:bidi="he-IL"/>
        </w:rPr>
        <w:t xml:space="preserve"> אפשרות הצלבה של המידע המבוקש עם מאגרים אחרים שניתן להשיג </w:t>
      </w:r>
      <w:r w:rsidRPr="005418D8">
        <w:rPr>
          <w:rFonts w:cs="Calibri" w:hint="cs"/>
          <w:sz w:val="24"/>
          <w:szCs w:val="24"/>
          <w:rtl/>
          <w:lang w:bidi="he-IL"/>
        </w:rPr>
        <w:t xml:space="preserve">על מנת להעריך את </w:t>
      </w:r>
      <w:r w:rsidRPr="005418D8">
        <w:rPr>
          <w:rFonts w:cs="Calibri"/>
          <w:sz w:val="24"/>
          <w:szCs w:val="24"/>
          <w:rtl/>
          <w:lang w:bidi="he-IL"/>
        </w:rPr>
        <w:t>סיכו</w:t>
      </w:r>
      <w:r w:rsidRPr="005418D8">
        <w:rPr>
          <w:rFonts w:cs="Calibri" w:hint="cs"/>
          <w:sz w:val="24"/>
          <w:szCs w:val="24"/>
          <w:rtl/>
          <w:lang w:bidi="he-IL"/>
        </w:rPr>
        <w:t>ן הזיהוי מחדש</w:t>
      </w:r>
      <w:r w:rsidRPr="005418D8">
        <w:rPr>
          <w:rFonts w:cs="Calibri"/>
          <w:sz w:val="24"/>
          <w:szCs w:val="24"/>
          <w:rtl/>
          <w:lang w:bidi="he-IL"/>
        </w:rPr>
        <w:t xml:space="preserve"> </w:t>
      </w:r>
    </w:p>
    <w:p w14:paraId="3C3A1366"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החוקר לא יכניס לחדר המחקר כלים ומידע אלא באישור בכתב של ארגון הבריאות</w:t>
      </w:r>
    </w:p>
    <w:p w14:paraId="1B070986"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Pr>
      </w:pPr>
      <w:r w:rsidRPr="005418D8">
        <w:rPr>
          <w:rFonts w:cs="Calibri"/>
          <w:sz w:val="24"/>
          <w:szCs w:val="24"/>
          <w:rtl/>
          <w:lang w:bidi="he-IL"/>
        </w:rPr>
        <w:t>נבחנו מראש חלופות שונות למימוש ההסדר</w:t>
      </w:r>
    </w:p>
    <w:p w14:paraId="78050882" w14:textId="77777777" w:rsidR="003E40A5" w:rsidRDefault="003E40A5" w:rsidP="003E40A5">
      <w:pPr>
        <w:bidi/>
        <w:spacing w:line="320" w:lineRule="exact"/>
        <w:jc w:val="both"/>
        <w:rPr>
          <w:rFonts w:ascii="Calibri" w:hAnsi="Calibri" w:cs="Calibri"/>
          <w:b/>
          <w:bCs/>
          <w:color w:val="000000"/>
        </w:rPr>
      </w:pPr>
      <w:r>
        <w:rPr>
          <w:rFonts w:ascii="Calibri" w:hAnsi="Calibri" w:cs="Calibri"/>
          <w:b/>
          <w:bCs/>
          <w:color w:val="000000"/>
          <w:rtl/>
        </w:rPr>
        <w:t>ללא פגיעה בפונקציונליות</w:t>
      </w:r>
    </w:p>
    <w:p w14:paraId="74245138" w14:textId="77777777" w:rsidR="003E40A5" w:rsidRDefault="003E40A5" w:rsidP="003E40A5">
      <w:pPr>
        <w:pStyle w:val="ListParagraph"/>
        <w:numPr>
          <w:ilvl w:val="0"/>
          <w:numId w:val="14"/>
        </w:numPr>
        <w:bidi/>
        <w:spacing w:before="240" w:after="240" w:line="320" w:lineRule="exact"/>
        <w:jc w:val="both"/>
        <w:rPr>
          <w:rFonts w:cs="Calibri"/>
          <w:sz w:val="24"/>
          <w:szCs w:val="24"/>
        </w:rPr>
      </w:pPr>
      <w:r>
        <w:rPr>
          <w:rFonts w:cs="Calibri" w:hint="cs"/>
          <w:sz w:val="24"/>
          <w:szCs w:val="24"/>
          <w:rtl/>
          <w:lang w:bidi="he-IL"/>
        </w:rPr>
        <w:t>דרישת ההתממה כפופה לשימור יכולת המחקר</w:t>
      </w:r>
    </w:p>
    <w:p w14:paraId="304CC40F"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hint="cs"/>
          <w:sz w:val="24"/>
          <w:szCs w:val="24"/>
          <w:rtl/>
          <w:lang w:bidi="he-IL"/>
        </w:rPr>
        <w:t xml:space="preserve">עקרון </w:t>
      </w:r>
      <w:r w:rsidRPr="005418D8">
        <w:rPr>
          <w:rFonts w:cs="Calibri"/>
          <w:sz w:val="24"/>
          <w:szCs w:val="24"/>
          <w:rtl/>
          <w:lang w:bidi="he-IL"/>
        </w:rPr>
        <w:t>צמצום מידע עודף כפוף לאי פגיעה ביכולת ביצוע המחקר</w:t>
      </w:r>
    </w:p>
    <w:p w14:paraId="0C0A50E3"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Pr>
      </w:pPr>
      <w:r w:rsidRPr="005418D8">
        <w:rPr>
          <w:rFonts w:cs="Calibri"/>
          <w:sz w:val="24"/>
          <w:szCs w:val="24"/>
          <w:rtl/>
          <w:lang w:bidi="he-IL"/>
        </w:rPr>
        <w:t xml:space="preserve">מתן אפשרות </w:t>
      </w:r>
      <w:r>
        <w:rPr>
          <w:rFonts w:cs="Calibri" w:hint="cs"/>
          <w:sz w:val="24"/>
          <w:szCs w:val="24"/>
          <w:rtl/>
          <w:lang w:bidi="he-IL"/>
        </w:rPr>
        <w:t>למסירת מידע ל</w:t>
      </w:r>
      <w:r w:rsidRPr="005418D8">
        <w:rPr>
          <w:rFonts w:cs="Calibri"/>
          <w:sz w:val="24"/>
          <w:szCs w:val="24"/>
          <w:rtl/>
          <w:lang w:bidi="he-IL"/>
        </w:rPr>
        <w:t xml:space="preserve">חוקר חיצוני לארגון הבריאות </w:t>
      </w:r>
      <w:r>
        <w:rPr>
          <w:rFonts w:cs="Calibri" w:hint="cs"/>
          <w:sz w:val="24"/>
          <w:szCs w:val="24"/>
          <w:rtl/>
          <w:lang w:bidi="he-IL"/>
        </w:rPr>
        <w:t xml:space="preserve">בכפוף לדרישות ונימוקים מיוחדים </w:t>
      </w:r>
      <w:r w:rsidRPr="005418D8">
        <w:rPr>
          <w:rFonts w:cs="Calibri"/>
          <w:sz w:val="24"/>
          <w:szCs w:val="24"/>
          <w:rtl/>
          <w:lang w:bidi="he-IL"/>
        </w:rPr>
        <w:t xml:space="preserve">ולאישור </w:t>
      </w:r>
      <w:r w:rsidRPr="005418D8">
        <w:rPr>
          <w:rFonts w:cs="Calibri" w:hint="cs"/>
          <w:sz w:val="24"/>
          <w:szCs w:val="24"/>
          <w:rtl/>
          <w:lang w:bidi="he-IL"/>
        </w:rPr>
        <w:t>נוסף</w:t>
      </w:r>
      <w:r w:rsidRPr="005418D8">
        <w:rPr>
          <w:rFonts w:cs="Calibri"/>
          <w:sz w:val="24"/>
          <w:szCs w:val="24"/>
          <w:rtl/>
          <w:lang w:bidi="he-IL"/>
        </w:rPr>
        <w:t xml:space="preserve"> של הועדה הלאומית</w:t>
      </w:r>
    </w:p>
    <w:p w14:paraId="02CDDB5A" w14:textId="77777777" w:rsidR="003E40A5" w:rsidRDefault="003E40A5" w:rsidP="003E40A5">
      <w:pPr>
        <w:bidi/>
        <w:spacing w:line="320" w:lineRule="exact"/>
        <w:jc w:val="both"/>
        <w:rPr>
          <w:rFonts w:ascii="Calibri" w:hAnsi="Calibri" w:cs="Calibri"/>
          <w:b/>
          <w:bCs/>
          <w:color w:val="000000"/>
        </w:rPr>
      </w:pPr>
      <w:r>
        <w:rPr>
          <w:rFonts w:ascii="Calibri" w:hAnsi="Calibri" w:cs="Calibri"/>
          <w:b/>
          <w:bCs/>
          <w:color w:val="000000"/>
          <w:rtl/>
        </w:rPr>
        <w:t>הגנה מקצה לקצה</w:t>
      </w:r>
    </w:p>
    <w:p w14:paraId="2E64B8BB"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דרישת עמידה בתקנות הגנת הפרטיות (אבטחת מידע) ותקנים ויישום אמצעי אבטחה פיזיים ולוגיים</w:t>
      </w:r>
    </w:p>
    <w:p w14:paraId="690F97C7"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ניטור מלא של פעילות חוקרים במערכת</w:t>
      </w:r>
    </w:p>
    <w:p w14:paraId="163EA6D4"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בדיקת מהימנות וכשירות החוקרים</w:t>
      </w:r>
    </w:p>
    <w:p w14:paraId="7C92DE51"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 xml:space="preserve">החוקר לא יוציא מידע </w:t>
      </w:r>
      <w:r w:rsidRPr="005418D8">
        <w:rPr>
          <w:rFonts w:cs="Calibri" w:hint="cs"/>
          <w:sz w:val="24"/>
          <w:szCs w:val="24"/>
          <w:rtl/>
          <w:lang w:bidi="he-IL"/>
        </w:rPr>
        <w:t xml:space="preserve">גולמי </w:t>
      </w:r>
      <w:r w:rsidRPr="005418D8">
        <w:rPr>
          <w:rFonts w:cs="Calibri"/>
          <w:sz w:val="24"/>
          <w:szCs w:val="24"/>
          <w:rtl/>
          <w:lang w:bidi="he-IL"/>
        </w:rPr>
        <w:t>מחדר המחקר</w:t>
      </w:r>
    </w:p>
    <w:p w14:paraId="2967B852"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לחוקר לא תינתן גישה למערכות ארגו</w:t>
      </w:r>
      <w:r w:rsidRPr="005418D8">
        <w:rPr>
          <w:rFonts w:cs="Calibri" w:hint="cs"/>
          <w:sz w:val="24"/>
          <w:szCs w:val="24"/>
          <w:rtl/>
          <w:lang w:bidi="he-IL"/>
        </w:rPr>
        <w:t>ן</w:t>
      </w:r>
      <w:r w:rsidRPr="005418D8">
        <w:rPr>
          <w:rFonts w:cs="Calibri"/>
          <w:sz w:val="24"/>
          <w:szCs w:val="24"/>
          <w:rtl/>
          <w:lang w:bidi="he-IL"/>
        </w:rPr>
        <w:t xml:space="preserve"> הבריאות או לאינטרנט</w:t>
      </w:r>
    </w:p>
    <w:p w14:paraId="0B16F50A"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החוקר יוציא תוצרי מחקר רק לאחר בחינה של ארגון הבריאות שהמידע אינו ניתן לזיהוי</w:t>
      </w:r>
    </w:p>
    <w:p w14:paraId="0AC32C8B" w14:textId="77777777" w:rsidR="003E40A5" w:rsidRDefault="003E40A5" w:rsidP="003E40A5">
      <w:pPr>
        <w:bidi/>
        <w:spacing w:line="320" w:lineRule="exact"/>
        <w:jc w:val="both"/>
        <w:rPr>
          <w:rFonts w:ascii="Calibri" w:hAnsi="Calibri" w:cs="Calibri"/>
          <w:b/>
          <w:bCs/>
          <w:color w:val="000000"/>
        </w:rPr>
      </w:pPr>
      <w:r>
        <w:rPr>
          <w:rFonts w:ascii="Calibri" w:hAnsi="Calibri" w:cs="Calibri"/>
          <w:b/>
          <w:bCs/>
          <w:color w:val="000000"/>
          <w:rtl/>
        </w:rPr>
        <w:t>שקיפות</w:t>
      </w:r>
    </w:p>
    <w:p w14:paraId="7C9094E7"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Pr>
      </w:pPr>
      <w:r w:rsidRPr="005418D8">
        <w:rPr>
          <w:rFonts w:cs="Calibri" w:hint="cs"/>
          <w:sz w:val="24"/>
          <w:szCs w:val="24"/>
          <w:rtl/>
          <w:lang w:bidi="he-IL"/>
        </w:rPr>
        <w:t>חובת קבלת החלטות מפורטות וכתובות</w:t>
      </w:r>
    </w:p>
    <w:p w14:paraId="51AD5BE7"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 xml:space="preserve">חובת דיווח </w:t>
      </w:r>
      <w:r w:rsidRPr="005418D8">
        <w:rPr>
          <w:rFonts w:cs="Calibri" w:hint="cs"/>
          <w:sz w:val="24"/>
          <w:szCs w:val="24"/>
          <w:rtl/>
          <w:lang w:bidi="he-IL"/>
        </w:rPr>
        <w:t xml:space="preserve">על כל החלטת ועדה ארגונית </w:t>
      </w:r>
      <w:r w:rsidRPr="005418D8">
        <w:rPr>
          <w:rFonts w:cs="Calibri"/>
          <w:sz w:val="24"/>
          <w:szCs w:val="24"/>
          <w:rtl/>
          <w:lang w:bidi="he-IL"/>
        </w:rPr>
        <w:t xml:space="preserve">למשרד הבריאות </w:t>
      </w:r>
    </w:p>
    <w:p w14:paraId="02AB7BAC"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Pr>
      </w:pPr>
      <w:r w:rsidRPr="005418D8">
        <w:rPr>
          <w:rFonts w:cs="Calibri"/>
          <w:sz w:val="24"/>
          <w:szCs w:val="24"/>
          <w:rtl/>
          <w:lang w:bidi="he-IL"/>
        </w:rPr>
        <w:t>פרסום ההחלטות באתר משרד הבריאות</w:t>
      </w:r>
    </w:p>
    <w:p w14:paraId="07B4254B"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פרסום נוהל ארגוני לשימוש מחקרי במידע ומדיניות פרטיות</w:t>
      </w:r>
    </w:p>
    <w:p w14:paraId="25075D61"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Pr>
      </w:pPr>
      <w:r w:rsidRPr="005418D8">
        <w:rPr>
          <w:rFonts w:cs="Calibri" w:hint="cs"/>
          <w:sz w:val="24"/>
          <w:szCs w:val="24"/>
          <w:rtl/>
          <w:lang w:bidi="he-IL"/>
        </w:rPr>
        <w:t xml:space="preserve">חובת תיעוד </w:t>
      </w:r>
      <w:r w:rsidRPr="005418D8">
        <w:rPr>
          <w:rFonts w:cs="Calibri"/>
          <w:sz w:val="24"/>
          <w:szCs w:val="24"/>
          <w:rtl/>
          <w:lang w:bidi="he-IL"/>
        </w:rPr>
        <w:t>ש</w:t>
      </w:r>
      <w:r w:rsidRPr="005418D8">
        <w:rPr>
          <w:rFonts w:cs="Calibri" w:hint="cs"/>
          <w:sz w:val="24"/>
          <w:szCs w:val="24"/>
          <w:rtl/>
          <w:lang w:bidi="he-IL"/>
        </w:rPr>
        <w:t>ל</w:t>
      </w:r>
      <w:r w:rsidRPr="005418D8">
        <w:rPr>
          <w:rFonts w:cs="Calibri"/>
          <w:sz w:val="24"/>
          <w:szCs w:val="24"/>
          <w:rtl/>
          <w:lang w:bidi="he-IL"/>
        </w:rPr>
        <w:t xml:space="preserve"> תהליך ההתממה</w:t>
      </w:r>
    </w:p>
    <w:p w14:paraId="26962660" w14:textId="77777777" w:rsidR="003E40A5" w:rsidRDefault="003E40A5" w:rsidP="003E40A5">
      <w:pPr>
        <w:bidi/>
        <w:spacing w:line="320" w:lineRule="exact"/>
        <w:jc w:val="both"/>
        <w:rPr>
          <w:rFonts w:ascii="Calibri" w:hAnsi="Calibri" w:cs="Calibri"/>
          <w:b/>
          <w:bCs/>
          <w:color w:val="000000"/>
        </w:rPr>
      </w:pPr>
      <w:r>
        <w:rPr>
          <w:rFonts w:ascii="Calibri" w:hAnsi="Calibri" w:cs="Calibri"/>
          <w:b/>
          <w:bCs/>
          <w:color w:val="000000"/>
          <w:rtl/>
        </w:rPr>
        <w:t>פרטיות המשתמש במרכז</w:t>
      </w:r>
    </w:p>
    <w:p w14:paraId="694AFACA"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 xml:space="preserve">בחינת </w:t>
      </w:r>
      <w:r w:rsidRPr="005418D8">
        <w:rPr>
          <w:rFonts w:cs="Calibri" w:hint="cs"/>
          <w:sz w:val="24"/>
          <w:szCs w:val="24"/>
          <w:rtl/>
          <w:lang w:bidi="he-IL"/>
        </w:rPr>
        <w:t>ה</w:t>
      </w:r>
      <w:r w:rsidRPr="005418D8">
        <w:rPr>
          <w:rFonts w:cs="Calibri"/>
          <w:sz w:val="24"/>
          <w:szCs w:val="24"/>
          <w:rtl/>
          <w:lang w:bidi="he-IL"/>
        </w:rPr>
        <w:t xml:space="preserve">תכלית </w:t>
      </w:r>
      <w:r w:rsidRPr="005418D8">
        <w:rPr>
          <w:rFonts w:cs="Calibri" w:hint="cs"/>
          <w:sz w:val="24"/>
          <w:szCs w:val="24"/>
          <w:rtl/>
          <w:lang w:bidi="he-IL"/>
        </w:rPr>
        <w:t>ה</w:t>
      </w:r>
      <w:r w:rsidRPr="005418D8">
        <w:rPr>
          <w:rFonts w:cs="Calibri"/>
          <w:sz w:val="24"/>
          <w:szCs w:val="24"/>
          <w:rtl/>
          <w:lang w:bidi="he-IL"/>
        </w:rPr>
        <w:t>ראויה של המחקר</w:t>
      </w:r>
    </w:p>
    <w:p w14:paraId="7C840BA1"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hint="cs"/>
          <w:sz w:val="24"/>
          <w:szCs w:val="24"/>
          <w:rtl/>
          <w:lang w:bidi="he-IL"/>
        </w:rPr>
        <w:t>קיום</w:t>
      </w:r>
      <w:r w:rsidRPr="005418D8">
        <w:rPr>
          <w:rFonts w:cs="Calibri"/>
          <w:sz w:val="24"/>
          <w:szCs w:val="24"/>
          <w:rtl/>
          <w:lang w:bidi="he-IL"/>
        </w:rPr>
        <w:t xml:space="preserve"> </w:t>
      </w:r>
      <w:r w:rsidRPr="005418D8">
        <w:rPr>
          <w:rFonts w:cs="Calibri" w:hint="cs"/>
          <w:sz w:val="24"/>
          <w:szCs w:val="24"/>
          <w:rtl/>
          <w:lang w:bidi="he-IL"/>
        </w:rPr>
        <w:t>מנגנון ש</w:t>
      </w:r>
      <w:r w:rsidRPr="005418D8">
        <w:rPr>
          <w:rFonts w:cs="Calibri"/>
          <w:sz w:val="24"/>
          <w:szCs w:val="24"/>
          <w:rtl/>
          <w:lang w:bidi="he-IL"/>
        </w:rPr>
        <w:t>יאפשר לאנשים לבקש שלא להיות כלולים במחקר</w:t>
      </w:r>
      <w:r w:rsidRPr="005418D8">
        <w:rPr>
          <w:rFonts w:cs="Calibri" w:hint="cs"/>
          <w:sz w:val="24"/>
          <w:szCs w:val="24"/>
          <w:rtl/>
          <w:lang w:bidi="he-IL"/>
        </w:rPr>
        <w:t xml:space="preserve"> </w:t>
      </w:r>
      <w:r w:rsidRPr="005418D8">
        <w:rPr>
          <w:rFonts w:cs="Calibri"/>
          <w:sz w:val="24"/>
          <w:szCs w:val="24"/>
          <w:lang w:bidi="he-IL"/>
        </w:rPr>
        <w:t xml:space="preserve"> (Opt-Out)</w:t>
      </w:r>
      <w:r w:rsidRPr="005418D8">
        <w:rPr>
          <w:rFonts w:cs="Calibri" w:hint="cs"/>
          <w:sz w:val="24"/>
          <w:szCs w:val="24"/>
          <w:rtl/>
          <w:lang w:bidi="he-IL"/>
        </w:rPr>
        <w:t xml:space="preserve"> </w:t>
      </w:r>
    </w:p>
    <w:p w14:paraId="70BF2BC0" w14:textId="77777777" w:rsidR="003E40A5" w:rsidRPr="00992A8B"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חובת מינוי ממונה על פניות ציבור בארגון הבריאות</w:t>
      </w:r>
    </w:p>
    <w:p w14:paraId="70FE6626" w14:textId="77777777" w:rsidR="003E40A5" w:rsidRDefault="003E40A5" w:rsidP="003E40A5">
      <w:pPr>
        <w:bidi/>
        <w:spacing w:line="320" w:lineRule="exact"/>
        <w:jc w:val="both"/>
        <w:rPr>
          <w:rFonts w:ascii="Calibri" w:hAnsi="Calibri" w:cs="Calibri"/>
          <w:b/>
          <w:bCs/>
          <w:color w:val="000000"/>
        </w:rPr>
      </w:pPr>
      <w:r>
        <w:rPr>
          <w:rFonts w:ascii="Calibri" w:hAnsi="Calibri" w:cs="Calibri"/>
          <w:b/>
          <w:bCs/>
          <w:color w:val="000000"/>
          <w:rtl/>
        </w:rPr>
        <w:t>אחריותיות</w:t>
      </w:r>
    </w:p>
    <w:p w14:paraId="6AA1B451"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sz w:val="24"/>
          <w:szCs w:val="24"/>
          <w:rtl/>
          <w:lang w:bidi="he-IL"/>
        </w:rPr>
        <w:t xml:space="preserve">הטלת אחריות להחלטה מושכלת ומנומקת ופיקוח על </w:t>
      </w:r>
      <w:r w:rsidRPr="005418D8">
        <w:rPr>
          <w:rFonts w:cs="Calibri" w:hint="cs"/>
          <w:sz w:val="24"/>
          <w:szCs w:val="24"/>
          <w:rtl/>
          <w:lang w:bidi="he-IL"/>
        </w:rPr>
        <w:t xml:space="preserve">ביצועה </w:t>
      </w:r>
      <w:r w:rsidRPr="005418D8">
        <w:rPr>
          <w:rFonts w:cs="Calibri"/>
          <w:sz w:val="24"/>
          <w:szCs w:val="24"/>
          <w:rtl/>
          <w:lang w:bidi="he-IL"/>
        </w:rPr>
        <w:t>ארגוני הבריאות. מנגנון תהליכי בדמות ועדה ארגונית לבחינה מעמיקה ומקצועית של התועלות והסיכונים שמגלמת הצעת המחקר ואמצעי ההתממה השונים שניתן ליישם על מנת להפחית סיכונים אלו. הועדה כוללת בעלי מקצוע חיוניים לביצוע התהליך, כללי מניעת ניגוד עניינים ונציג ציבור</w:t>
      </w:r>
      <w:r w:rsidRPr="005418D8">
        <w:rPr>
          <w:rFonts w:cs="Calibri"/>
          <w:sz w:val="24"/>
          <w:szCs w:val="24"/>
          <w:lang w:bidi="he-IL"/>
        </w:rPr>
        <w:t>.</w:t>
      </w:r>
    </w:p>
    <w:p w14:paraId="588F72A6"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Pr>
      </w:pPr>
      <w:r w:rsidRPr="005418D8">
        <w:rPr>
          <w:rFonts w:cs="Calibri" w:hint="cs"/>
          <w:sz w:val="24"/>
          <w:szCs w:val="24"/>
          <w:rtl/>
          <w:lang w:bidi="he-IL"/>
        </w:rPr>
        <w:t xml:space="preserve">הטלת אחריות על </w:t>
      </w:r>
      <w:r w:rsidRPr="005418D8">
        <w:rPr>
          <w:rFonts w:cs="Calibri"/>
          <w:sz w:val="24"/>
          <w:szCs w:val="24"/>
          <w:rtl/>
          <w:lang w:bidi="he-IL"/>
        </w:rPr>
        <w:t xml:space="preserve">ועדה לאומית במשרד הבריאות לבחינת בקשות רגישות במיוחד </w:t>
      </w:r>
    </w:p>
    <w:p w14:paraId="122E2160" w14:textId="77777777" w:rsidR="003E40A5" w:rsidRPr="005418D8" w:rsidRDefault="003E40A5" w:rsidP="003E40A5">
      <w:pPr>
        <w:pStyle w:val="ListParagraph"/>
        <w:numPr>
          <w:ilvl w:val="0"/>
          <w:numId w:val="14"/>
        </w:numPr>
        <w:bidi/>
        <w:spacing w:before="240" w:after="240" w:line="320" w:lineRule="exact"/>
        <w:jc w:val="both"/>
        <w:rPr>
          <w:rFonts w:cs="Calibri"/>
          <w:sz w:val="24"/>
          <w:szCs w:val="24"/>
          <w:rtl/>
        </w:rPr>
      </w:pPr>
      <w:r w:rsidRPr="005418D8">
        <w:rPr>
          <w:rFonts w:cs="Calibri" w:hint="cs"/>
          <w:sz w:val="24"/>
          <w:szCs w:val="24"/>
          <w:rtl/>
          <w:lang w:bidi="he-IL"/>
        </w:rPr>
        <w:t xml:space="preserve">הענקת </w:t>
      </w:r>
      <w:r w:rsidRPr="005418D8">
        <w:rPr>
          <w:rFonts w:cs="Calibri"/>
          <w:sz w:val="24"/>
          <w:szCs w:val="24"/>
          <w:rtl/>
          <w:lang w:bidi="he-IL"/>
        </w:rPr>
        <w:t>סמכויות ביקורת למשרד הבריאות על הועדות הארגוניות</w:t>
      </w:r>
    </w:p>
    <w:p w14:paraId="0EC315E7" w14:textId="77777777" w:rsidR="003E40A5" w:rsidRDefault="003E40A5" w:rsidP="003E40A5">
      <w:pPr>
        <w:pStyle w:val="ListParagraph"/>
        <w:numPr>
          <w:ilvl w:val="0"/>
          <w:numId w:val="14"/>
        </w:numPr>
        <w:bidi/>
        <w:spacing w:before="240" w:after="240" w:line="320" w:lineRule="exact"/>
        <w:jc w:val="both"/>
        <w:rPr>
          <w:rFonts w:cs="Calibri"/>
          <w:sz w:val="24"/>
          <w:szCs w:val="24"/>
        </w:rPr>
      </w:pPr>
      <w:r w:rsidRPr="005418D8">
        <w:rPr>
          <w:rFonts w:cs="Calibri" w:hint="cs"/>
          <w:sz w:val="24"/>
          <w:szCs w:val="24"/>
          <w:rtl/>
          <w:lang w:bidi="he-IL"/>
        </w:rPr>
        <w:t xml:space="preserve">הטלת חובה על </w:t>
      </w:r>
      <w:r w:rsidRPr="005418D8">
        <w:rPr>
          <w:rFonts w:cs="Calibri"/>
          <w:sz w:val="24"/>
          <w:szCs w:val="24"/>
          <w:rtl/>
          <w:lang w:bidi="he-IL"/>
        </w:rPr>
        <w:t>החוקר לשמור על סודיות המידע, לא לחרוג ממטרות המחקר המאושרות, לא לבצע פעולות לזיהוי מחדש של אנשים</w:t>
      </w:r>
    </w:p>
    <w:p w14:paraId="6D2BF0F8" w14:textId="77777777" w:rsidR="003E40A5" w:rsidRPr="0037572A" w:rsidRDefault="003E40A5" w:rsidP="003E40A5">
      <w:pPr>
        <w:pStyle w:val="ListParagraph"/>
        <w:bidi/>
        <w:spacing w:before="240" w:after="240" w:line="320" w:lineRule="exact"/>
        <w:jc w:val="both"/>
        <w:rPr>
          <w:rFonts w:cs="Calibri"/>
          <w:sz w:val="24"/>
          <w:szCs w:val="24"/>
          <w:rtl/>
        </w:rPr>
      </w:pPr>
    </w:p>
    <w:p w14:paraId="49C840D2" w14:textId="77777777" w:rsidR="003E40A5" w:rsidRPr="0036468F" w:rsidRDefault="003E40A5" w:rsidP="003E40A5">
      <w:pPr>
        <w:pStyle w:val="ListParagraph"/>
        <w:numPr>
          <w:ilvl w:val="0"/>
          <w:numId w:val="9"/>
        </w:numPr>
        <w:bidi/>
        <w:spacing w:before="240" w:after="240" w:line="320" w:lineRule="exact"/>
        <w:jc w:val="both"/>
        <w:rPr>
          <w:rFonts w:cstheme="minorHAnsi"/>
          <w:b/>
          <w:bCs/>
          <w:color w:val="000000" w:themeColor="text1"/>
          <w:sz w:val="28"/>
          <w:szCs w:val="28"/>
          <w:rtl/>
        </w:rPr>
      </w:pPr>
      <w:r w:rsidRPr="00157399">
        <w:rPr>
          <w:rFonts w:cstheme="minorHAnsi"/>
          <w:b/>
          <w:bCs/>
          <w:color w:val="000000" w:themeColor="text1"/>
          <w:sz w:val="28"/>
          <w:szCs w:val="28"/>
          <w:rtl/>
          <w:lang w:bidi="he-IL"/>
        </w:rPr>
        <w:t>עמדות בעלי-עניין ביחס להסדר המוצע</w:t>
      </w:r>
    </w:p>
    <w:p w14:paraId="226B9354" w14:textId="77777777" w:rsidR="003E40A5" w:rsidRPr="00157399" w:rsidRDefault="003E40A5" w:rsidP="003E40A5">
      <w:pPr>
        <w:bidi/>
        <w:spacing w:after="160" w:line="320" w:lineRule="exact"/>
        <w:jc w:val="both"/>
        <w:rPr>
          <w:rFonts w:asciiTheme="minorHAnsi" w:hAnsiTheme="minorHAnsi" w:cstheme="minorHAnsi"/>
          <w:rtl/>
        </w:rPr>
      </w:pPr>
      <w:r w:rsidRPr="00157399">
        <w:rPr>
          <w:rFonts w:asciiTheme="minorHAnsi" w:hAnsiTheme="minorHAnsi" w:cstheme="minorHAnsi"/>
          <w:rtl/>
        </w:rPr>
        <w:t>ב</w:t>
      </w:r>
      <w:r>
        <w:rPr>
          <w:rFonts w:asciiTheme="minorHAnsi" w:hAnsiTheme="minorHAnsi" w:cstheme="minorHAnsi" w:hint="cs"/>
          <w:rtl/>
        </w:rPr>
        <w:t>יום</w:t>
      </w:r>
      <w:r w:rsidRPr="00157399">
        <w:rPr>
          <w:rFonts w:asciiTheme="minorHAnsi" w:hAnsiTheme="minorHAnsi" w:cstheme="minorHAnsi"/>
          <w:rtl/>
        </w:rPr>
        <w:t xml:space="preserve">  25.12.2019</w:t>
      </w:r>
      <w:r>
        <w:rPr>
          <w:rFonts w:asciiTheme="minorHAnsi" w:hAnsiTheme="minorHAnsi" w:cstheme="minorHAnsi" w:hint="cs"/>
          <w:rtl/>
        </w:rPr>
        <w:t xml:space="preserve"> ערך המכון הישראלי למדיניות טכנולוגיה, יחד עם ה</w:t>
      </w:r>
      <w:r w:rsidRPr="00157399">
        <w:rPr>
          <w:rFonts w:asciiTheme="minorHAnsi" w:hAnsiTheme="minorHAnsi" w:cstheme="minorHAnsi"/>
          <w:rtl/>
        </w:rPr>
        <w:t>מרכז הבינתחומי בהרצליה</w:t>
      </w:r>
      <w:r>
        <w:rPr>
          <w:rFonts w:asciiTheme="minorHAnsi" w:hAnsiTheme="minorHAnsi" w:cstheme="minorHAnsi" w:hint="cs"/>
          <w:rtl/>
        </w:rPr>
        <w:t>,</w:t>
      </w:r>
      <w:r w:rsidRPr="00157399">
        <w:rPr>
          <w:rFonts w:asciiTheme="minorHAnsi" w:hAnsiTheme="minorHAnsi" w:cstheme="minorHAnsi"/>
          <w:rtl/>
        </w:rPr>
        <w:t xml:space="preserve"> </w:t>
      </w:r>
      <w:r>
        <w:rPr>
          <w:rFonts w:asciiTheme="minorHAnsi" w:hAnsiTheme="minorHAnsi" w:cstheme="minorHAnsi" w:hint="cs"/>
          <w:rtl/>
        </w:rPr>
        <w:t xml:space="preserve">"שולחן עגול" בהשתתפות בעלי העניין השונים לשיח על </w:t>
      </w:r>
      <w:r w:rsidRPr="00157399">
        <w:rPr>
          <w:rFonts w:asciiTheme="minorHAnsi" w:hAnsiTheme="minorHAnsi" w:cstheme="minorHAnsi"/>
          <w:rtl/>
        </w:rPr>
        <w:t xml:space="preserve"> יישום </w:t>
      </w:r>
      <w:r>
        <w:rPr>
          <w:rFonts w:asciiTheme="minorHAnsi" w:hAnsiTheme="minorHAnsi" w:cstheme="minorHAnsi" w:hint="cs"/>
          <w:rtl/>
        </w:rPr>
        <w:t>ההסדר</w:t>
      </w:r>
      <w:r w:rsidRPr="00157399">
        <w:rPr>
          <w:rFonts w:asciiTheme="minorHAnsi" w:hAnsiTheme="minorHAnsi" w:cstheme="minorHAnsi"/>
          <w:rtl/>
        </w:rPr>
        <w:t xml:space="preserve"> על מקרים (היפותטיים) של בקשות שימוש במידע בריאות.</w:t>
      </w:r>
      <w:r>
        <w:rPr>
          <w:rFonts w:asciiTheme="minorHAnsi" w:hAnsiTheme="minorHAnsi" w:cstheme="minorHAnsi" w:hint="cs"/>
          <w:rtl/>
        </w:rPr>
        <w:t xml:space="preserve"> להלן תמצית הערות שהועלו בדיון ביחס להסדר.</w:t>
      </w:r>
    </w:p>
    <w:p w14:paraId="13FFCB98" w14:textId="77777777" w:rsidR="003E40A5" w:rsidRPr="00157399" w:rsidRDefault="003E40A5" w:rsidP="003E40A5">
      <w:pPr>
        <w:bidi/>
        <w:spacing w:after="160" w:line="320" w:lineRule="exact"/>
        <w:jc w:val="both"/>
        <w:rPr>
          <w:rFonts w:asciiTheme="minorHAnsi" w:hAnsiTheme="minorHAnsi" w:cstheme="minorHAnsi"/>
          <w:u w:val="single"/>
          <w:rtl/>
        </w:rPr>
      </w:pPr>
      <w:r>
        <w:rPr>
          <w:rFonts w:asciiTheme="minorHAnsi" w:hAnsiTheme="minorHAnsi" w:cstheme="minorHAnsi" w:hint="cs"/>
          <w:u w:val="single"/>
          <w:rtl/>
        </w:rPr>
        <w:t>הערות</w:t>
      </w:r>
      <w:r w:rsidRPr="00157399">
        <w:rPr>
          <w:rFonts w:asciiTheme="minorHAnsi" w:hAnsiTheme="minorHAnsi" w:cstheme="minorHAnsi"/>
          <w:u w:val="single"/>
          <w:rtl/>
        </w:rPr>
        <w:t xml:space="preserve"> שהועלו ע"י </w:t>
      </w:r>
      <w:r w:rsidRPr="00157399">
        <w:rPr>
          <w:rFonts w:asciiTheme="minorHAnsi" w:hAnsiTheme="minorHAnsi" w:cstheme="minorHAnsi"/>
          <w:b/>
          <w:bCs/>
          <w:u w:val="single"/>
          <w:rtl/>
        </w:rPr>
        <w:t>מבקשי שימוש בנתונים</w:t>
      </w:r>
      <w:r w:rsidRPr="00157399">
        <w:rPr>
          <w:rFonts w:asciiTheme="minorHAnsi" w:hAnsiTheme="minorHAnsi" w:cstheme="minorHAnsi"/>
          <w:rtl/>
        </w:rPr>
        <w:t>:</w:t>
      </w:r>
    </w:p>
    <w:p w14:paraId="57324409" w14:textId="77777777" w:rsidR="003E40A5" w:rsidRPr="0036468F" w:rsidRDefault="003E40A5" w:rsidP="003E40A5">
      <w:pPr>
        <w:pStyle w:val="ListParagraph"/>
        <w:numPr>
          <w:ilvl w:val="0"/>
          <w:numId w:val="10"/>
        </w:numPr>
        <w:bidi/>
        <w:spacing w:line="320" w:lineRule="exact"/>
        <w:jc w:val="both"/>
        <w:rPr>
          <w:rFonts w:cstheme="minorHAnsi"/>
          <w:sz w:val="24"/>
          <w:szCs w:val="24"/>
        </w:rPr>
      </w:pPr>
      <w:r w:rsidRPr="00157399">
        <w:rPr>
          <w:rFonts w:cstheme="minorHAnsi"/>
          <w:sz w:val="24"/>
          <w:szCs w:val="24"/>
          <w:rtl/>
          <w:lang w:bidi="he-IL"/>
        </w:rPr>
        <w:t>אגרגציה של נתוני עתק מפריעה להצלבה עם מאגרי מידע נוספים</w:t>
      </w:r>
      <w:r w:rsidRPr="00157399">
        <w:rPr>
          <w:rFonts w:cstheme="minorHAnsi"/>
          <w:sz w:val="24"/>
          <w:szCs w:val="24"/>
          <w:rtl/>
        </w:rPr>
        <w:t>.</w:t>
      </w:r>
    </w:p>
    <w:p w14:paraId="3E68E17D" w14:textId="77777777" w:rsidR="003E40A5" w:rsidRPr="0036468F" w:rsidRDefault="003E40A5" w:rsidP="003E40A5">
      <w:pPr>
        <w:pStyle w:val="ListParagraph"/>
        <w:numPr>
          <w:ilvl w:val="0"/>
          <w:numId w:val="10"/>
        </w:numPr>
        <w:bidi/>
        <w:spacing w:line="320" w:lineRule="exact"/>
        <w:jc w:val="both"/>
        <w:rPr>
          <w:rFonts w:cstheme="minorHAnsi"/>
          <w:sz w:val="24"/>
          <w:szCs w:val="24"/>
        </w:rPr>
      </w:pPr>
      <w:r w:rsidRPr="00157399">
        <w:rPr>
          <w:rFonts w:cstheme="minorHAnsi"/>
          <w:sz w:val="24"/>
          <w:szCs w:val="24"/>
          <w:rtl/>
          <w:lang w:bidi="he-IL"/>
        </w:rPr>
        <w:t>התממת המידע מציבה קשיים בהצלבת נתונים אודות מטופלים</w:t>
      </w:r>
      <w:r w:rsidRPr="00157399">
        <w:rPr>
          <w:rFonts w:cstheme="minorHAnsi"/>
          <w:sz w:val="24"/>
          <w:szCs w:val="24"/>
          <w:rtl/>
        </w:rPr>
        <w:t xml:space="preserve">. </w:t>
      </w:r>
      <w:r w:rsidRPr="00157399">
        <w:rPr>
          <w:rFonts w:cstheme="minorHAnsi"/>
          <w:sz w:val="24"/>
          <w:szCs w:val="24"/>
          <w:rtl/>
          <w:lang w:bidi="he-IL"/>
        </w:rPr>
        <w:t>לדוגמה</w:t>
      </w:r>
      <w:r w:rsidRPr="00157399">
        <w:rPr>
          <w:rFonts w:cstheme="minorHAnsi"/>
          <w:sz w:val="24"/>
          <w:szCs w:val="24"/>
          <w:rtl/>
        </w:rPr>
        <w:t xml:space="preserve">: </w:t>
      </w:r>
      <w:r w:rsidRPr="00157399">
        <w:rPr>
          <w:rFonts w:cstheme="minorHAnsi"/>
          <w:sz w:val="24"/>
          <w:szCs w:val="24"/>
          <w:rtl/>
          <w:lang w:bidi="he-IL"/>
        </w:rPr>
        <w:t>הצלבת נתונים בין מאגר נתונים בקהילה</w:t>
      </w:r>
      <w:r w:rsidRPr="00157399">
        <w:rPr>
          <w:rFonts w:cstheme="minorHAnsi"/>
          <w:sz w:val="24"/>
          <w:szCs w:val="24"/>
          <w:rtl/>
        </w:rPr>
        <w:t xml:space="preserve">, </w:t>
      </w:r>
      <w:r w:rsidRPr="00157399">
        <w:rPr>
          <w:rFonts w:cstheme="minorHAnsi"/>
          <w:sz w:val="24"/>
          <w:szCs w:val="24"/>
          <w:rtl/>
          <w:lang w:bidi="he-IL"/>
        </w:rPr>
        <w:t>לבין מאגר נתונים בבי</w:t>
      </w:r>
      <w:r w:rsidRPr="00157399">
        <w:rPr>
          <w:rFonts w:cstheme="minorHAnsi"/>
          <w:sz w:val="24"/>
          <w:szCs w:val="24"/>
          <w:rtl/>
        </w:rPr>
        <w:t>"</w:t>
      </w:r>
      <w:r w:rsidRPr="00157399">
        <w:rPr>
          <w:rFonts w:cstheme="minorHAnsi"/>
          <w:sz w:val="24"/>
          <w:szCs w:val="24"/>
          <w:rtl/>
          <w:lang w:bidi="he-IL"/>
        </w:rPr>
        <w:t>ח</w:t>
      </w:r>
      <w:r w:rsidRPr="00157399">
        <w:rPr>
          <w:rFonts w:cstheme="minorHAnsi"/>
          <w:sz w:val="24"/>
          <w:szCs w:val="24"/>
          <w:rtl/>
        </w:rPr>
        <w:t xml:space="preserve">. </w:t>
      </w:r>
      <w:r w:rsidRPr="00157399">
        <w:rPr>
          <w:rFonts w:cstheme="minorHAnsi"/>
          <w:sz w:val="24"/>
          <w:szCs w:val="24"/>
          <w:rtl/>
          <w:lang w:bidi="he-IL"/>
        </w:rPr>
        <w:t>קושי זה משפיע גם על תיקוף האלגוריתם</w:t>
      </w:r>
      <w:r w:rsidRPr="00157399">
        <w:rPr>
          <w:rFonts w:cstheme="minorHAnsi"/>
          <w:sz w:val="24"/>
          <w:szCs w:val="24"/>
          <w:rtl/>
        </w:rPr>
        <w:t xml:space="preserve">. </w:t>
      </w:r>
      <w:r w:rsidRPr="00157399">
        <w:rPr>
          <w:rFonts w:cstheme="minorHAnsi"/>
          <w:sz w:val="24"/>
          <w:szCs w:val="24"/>
          <w:rtl/>
          <w:lang w:bidi="he-IL"/>
        </w:rPr>
        <w:t>נדרש לאפשר לפחות זיהוי בשלב ראשון שיאפשר את הצלבת הנתונים בין המאגרים</w:t>
      </w:r>
      <w:r w:rsidRPr="00157399">
        <w:rPr>
          <w:rFonts w:cstheme="minorHAnsi"/>
          <w:sz w:val="24"/>
          <w:szCs w:val="24"/>
          <w:rtl/>
        </w:rPr>
        <w:t xml:space="preserve">, </w:t>
      </w:r>
      <w:r w:rsidRPr="00157399">
        <w:rPr>
          <w:rFonts w:cstheme="minorHAnsi"/>
          <w:sz w:val="24"/>
          <w:szCs w:val="24"/>
          <w:rtl/>
          <w:lang w:bidi="he-IL"/>
        </w:rPr>
        <w:t>לפני תחילת המחקר</w:t>
      </w:r>
      <w:r w:rsidRPr="00157399">
        <w:rPr>
          <w:rFonts w:cstheme="minorHAnsi"/>
          <w:sz w:val="24"/>
          <w:szCs w:val="24"/>
          <w:rtl/>
        </w:rPr>
        <w:t>.</w:t>
      </w:r>
    </w:p>
    <w:p w14:paraId="589F588B" w14:textId="77777777" w:rsidR="003E40A5" w:rsidRDefault="003E40A5" w:rsidP="003E40A5">
      <w:pPr>
        <w:pStyle w:val="ListParagraph"/>
        <w:numPr>
          <w:ilvl w:val="0"/>
          <w:numId w:val="10"/>
        </w:numPr>
        <w:bidi/>
        <w:spacing w:line="320" w:lineRule="exact"/>
        <w:jc w:val="both"/>
        <w:rPr>
          <w:rFonts w:cstheme="minorHAnsi"/>
          <w:sz w:val="24"/>
          <w:szCs w:val="24"/>
        </w:rPr>
      </w:pPr>
      <w:r w:rsidRPr="00157399">
        <w:rPr>
          <w:rFonts w:cstheme="minorHAnsi"/>
          <w:sz w:val="24"/>
          <w:szCs w:val="24"/>
          <w:rtl/>
          <w:lang w:bidi="he-IL"/>
        </w:rPr>
        <w:t xml:space="preserve">המחקר בנתוני עתק </w:t>
      </w:r>
      <w:r w:rsidRPr="00157399">
        <w:rPr>
          <w:rFonts w:cstheme="minorHAnsi"/>
          <w:sz w:val="24"/>
          <w:szCs w:val="24"/>
        </w:rPr>
        <w:t>(big data)</w:t>
      </w:r>
      <w:r w:rsidRPr="00157399">
        <w:rPr>
          <w:rFonts w:cstheme="minorHAnsi"/>
          <w:sz w:val="24"/>
          <w:szCs w:val="24"/>
          <w:rtl/>
          <w:lang w:bidi="he-IL"/>
        </w:rPr>
        <w:t xml:space="preserve"> ובבינה מלאכותית נדרש מטבעו לגופי נתונים רחבים וגדולים בהיקפם ולא יכול להיות מוגבל בהיקף המידע</w:t>
      </w:r>
      <w:r w:rsidRPr="00157399">
        <w:rPr>
          <w:rFonts w:cstheme="minorHAnsi"/>
          <w:sz w:val="24"/>
          <w:szCs w:val="24"/>
          <w:rtl/>
        </w:rPr>
        <w:t xml:space="preserve">. </w:t>
      </w:r>
      <w:r w:rsidRPr="00157399">
        <w:rPr>
          <w:rFonts w:cstheme="minorHAnsi"/>
          <w:sz w:val="24"/>
          <w:szCs w:val="24"/>
          <w:rtl/>
          <w:lang w:bidi="he-IL"/>
        </w:rPr>
        <w:t>מבקשי הנתונים בעולם המחקר המתקדם</w:t>
      </w:r>
      <w:r w:rsidRPr="00157399">
        <w:rPr>
          <w:rFonts w:cstheme="minorHAnsi"/>
          <w:sz w:val="24"/>
          <w:szCs w:val="24"/>
          <w:rtl/>
        </w:rPr>
        <w:t xml:space="preserve">, </w:t>
      </w:r>
      <w:r w:rsidRPr="00157399">
        <w:rPr>
          <w:rFonts w:cstheme="minorHAnsi"/>
          <w:sz w:val="24"/>
          <w:szCs w:val="24"/>
          <w:rtl/>
          <w:lang w:bidi="he-IL"/>
        </w:rPr>
        <w:t>העוסקים ב</w:t>
      </w:r>
      <w:r>
        <w:rPr>
          <w:rFonts w:cstheme="minorHAnsi" w:hint="cs"/>
          <w:sz w:val="24"/>
          <w:szCs w:val="24"/>
          <w:rtl/>
          <w:lang w:bidi="he-IL"/>
        </w:rPr>
        <w:t>איתור דפוס לא ידוע שאיננו צופים מראש</w:t>
      </w:r>
      <w:r w:rsidRPr="00157399">
        <w:rPr>
          <w:rFonts w:cstheme="minorHAnsi"/>
          <w:sz w:val="24"/>
          <w:szCs w:val="24"/>
          <w:rtl/>
        </w:rPr>
        <w:t xml:space="preserve"> – </w:t>
      </w:r>
      <w:r w:rsidRPr="00157399">
        <w:rPr>
          <w:rFonts w:cstheme="minorHAnsi"/>
          <w:sz w:val="24"/>
          <w:szCs w:val="24"/>
        </w:rPr>
        <w:t>fishing for signal</w:t>
      </w:r>
      <w:r w:rsidRPr="00157399">
        <w:rPr>
          <w:rFonts w:cstheme="minorHAnsi"/>
          <w:sz w:val="24"/>
          <w:szCs w:val="24"/>
          <w:rtl/>
        </w:rPr>
        <w:t xml:space="preserve">, </w:t>
      </w:r>
      <w:r w:rsidRPr="00157399">
        <w:rPr>
          <w:rFonts w:cstheme="minorHAnsi"/>
          <w:sz w:val="24"/>
          <w:szCs w:val="24"/>
          <w:rtl/>
          <w:lang w:bidi="he-IL"/>
        </w:rPr>
        <w:t xml:space="preserve">מתקשים להגדיר מראש את ה </w:t>
      </w:r>
      <w:r w:rsidRPr="00157399">
        <w:rPr>
          <w:rFonts w:cstheme="minorHAnsi"/>
          <w:sz w:val="24"/>
          <w:szCs w:val="24"/>
          <w:rtl/>
        </w:rPr>
        <w:t xml:space="preserve">– </w:t>
      </w:r>
      <w:r w:rsidRPr="00157399">
        <w:rPr>
          <w:rFonts w:cstheme="minorHAnsi"/>
          <w:sz w:val="24"/>
          <w:szCs w:val="24"/>
        </w:rPr>
        <w:t>data</w:t>
      </w:r>
      <w:r w:rsidRPr="00157399">
        <w:rPr>
          <w:rFonts w:cstheme="minorHAnsi"/>
          <w:sz w:val="24"/>
          <w:szCs w:val="24"/>
          <w:rtl/>
        </w:rPr>
        <w:t xml:space="preserve"> (</w:t>
      </w:r>
      <w:r w:rsidRPr="00157399">
        <w:rPr>
          <w:rFonts w:cstheme="minorHAnsi"/>
          <w:sz w:val="24"/>
          <w:szCs w:val="24"/>
          <w:rtl/>
          <w:lang w:bidi="he-IL"/>
        </w:rPr>
        <w:t>סוג ספציפי וכמות</w:t>
      </w:r>
      <w:r w:rsidRPr="00157399">
        <w:rPr>
          <w:rFonts w:cstheme="minorHAnsi"/>
          <w:sz w:val="24"/>
          <w:szCs w:val="24"/>
          <w:rtl/>
        </w:rPr>
        <w:t xml:space="preserve">) </w:t>
      </w:r>
      <w:r w:rsidRPr="00157399">
        <w:rPr>
          <w:rFonts w:cstheme="minorHAnsi"/>
          <w:sz w:val="24"/>
          <w:szCs w:val="24"/>
          <w:rtl/>
          <w:lang w:bidi="he-IL"/>
        </w:rPr>
        <w:t>שייזקקו לו</w:t>
      </w:r>
      <w:r w:rsidRPr="00157399">
        <w:rPr>
          <w:rFonts w:cstheme="minorHAnsi"/>
          <w:sz w:val="24"/>
          <w:szCs w:val="24"/>
          <w:rtl/>
        </w:rPr>
        <w:t xml:space="preserve">, </w:t>
      </w:r>
      <w:r w:rsidRPr="00157399">
        <w:rPr>
          <w:rFonts w:cstheme="minorHAnsi"/>
          <w:sz w:val="24"/>
          <w:szCs w:val="24"/>
          <w:rtl/>
          <w:lang w:bidi="he-IL"/>
        </w:rPr>
        <w:t>ולהתחייב מראש על היקפי נתונים מסוימים</w:t>
      </w:r>
      <w:r w:rsidRPr="00157399">
        <w:rPr>
          <w:rFonts w:cstheme="minorHAnsi"/>
          <w:sz w:val="24"/>
          <w:szCs w:val="24"/>
          <w:rtl/>
        </w:rPr>
        <w:t xml:space="preserve">. </w:t>
      </w:r>
      <w:r w:rsidRPr="00157399">
        <w:rPr>
          <w:rFonts w:cstheme="minorHAnsi"/>
          <w:sz w:val="24"/>
          <w:szCs w:val="24"/>
          <w:rtl/>
          <w:lang w:bidi="he-IL"/>
        </w:rPr>
        <w:t>הגבלה כזו תפגע באיכות המחקר ומגבילה מראש את תוצריו הצפויים</w:t>
      </w:r>
      <w:r w:rsidRPr="00157399">
        <w:rPr>
          <w:rFonts w:cstheme="minorHAnsi"/>
          <w:sz w:val="24"/>
          <w:szCs w:val="24"/>
          <w:rtl/>
        </w:rPr>
        <w:t>.</w:t>
      </w:r>
    </w:p>
    <w:p w14:paraId="7414A80E" w14:textId="77777777" w:rsidR="003E40A5" w:rsidRPr="0036468F" w:rsidRDefault="003E40A5" w:rsidP="003E40A5">
      <w:pPr>
        <w:pStyle w:val="ListParagraph"/>
        <w:numPr>
          <w:ilvl w:val="0"/>
          <w:numId w:val="10"/>
        </w:numPr>
        <w:bidi/>
        <w:spacing w:line="320" w:lineRule="exact"/>
        <w:jc w:val="both"/>
        <w:rPr>
          <w:rFonts w:cstheme="minorHAnsi"/>
          <w:sz w:val="24"/>
          <w:szCs w:val="24"/>
        </w:rPr>
      </w:pPr>
      <w:r>
        <w:rPr>
          <w:rFonts w:cstheme="minorHAnsi" w:hint="cs"/>
          <w:sz w:val="24"/>
          <w:szCs w:val="24"/>
          <w:rtl/>
          <w:lang w:bidi="he-IL"/>
        </w:rPr>
        <w:t xml:space="preserve">מבקשי הנתונים </w:t>
      </w:r>
      <w:r w:rsidRPr="0036468F">
        <w:rPr>
          <w:rFonts w:cstheme="minorHAnsi"/>
          <w:sz w:val="24"/>
          <w:szCs w:val="24"/>
          <w:rtl/>
          <w:lang w:bidi="he-IL"/>
        </w:rPr>
        <w:t xml:space="preserve">לרוב אינם מכירים את ה </w:t>
      </w:r>
      <w:r w:rsidRPr="0036468F">
        <w:rPr>
          <w:rFonts w:cstheme="minorHAnsi"/>
          <w:sz w:val="24"/>
          <w:szCs w:val="24"/>
          <w:rtl/>
        </w:rPr>
        <w:t xml:space="preserve">– </w:t>
      </w:r>
      <w:r w:rsidRPr="0036468F">
        <w:rPr>
          <w:rFonts w:cstheme="minorHAnsi"/>
          <w:sz w:val="24"/>
          <w:szCs w:val="24"/>
        </w:rPr>
        <w:t>data</w:t>
      </w:r>
      <w:r w:rsidRPr="0036468F">
        <w:rPr>
          <w:rFonts w:cstheme="minorHAnsi"/>
          <w:sz w:val="24"/>
          <w:szCs w:val="24"/>
          <w:rtl/>
          <w:lang w:bidi="he-IL"/>
        </w:rPr>
        <w:t xml:space="preserve"> שיש לארגוני הבריאות</w:t>
      </w:r>
      <w:r w:rsidRPr="0036468F">
        <w:rPr>
          <w:rFonts w:cstheme="minorHAnsi"/>
          <w:sz w:val="24"/>
          <w:szCs w:val="24"/>
          <w:rtl/>
        </w:rPr>
        <w:t xml:space="preserve">, </w:t>
      </w:r>
      <w:r w:rsidRPr="0036468F">
        <w:rPr>
          <w:rFonts w:cstheme="minorHAnsi"/>
          <w:sz w:val="24"/>
          <w:szCs w:val="24"/>
          <w:rtl/>
          <w:lang w:bidi="he-IL"/>
        </w:rPr>
        <w:t>כדי לבקש משהו מוגדר ומצומצם</w:t>
      </w:r>
      <w:r w:rsidRPr="0036468F">
        <w:rPr>
          <w:rFonts w:cstheme="minorHAnsi"/>
          <w:sz w:val="24"/>
          <w:szCs w:val="24"/>
          <w:rtl/>
        </w:rPr>
        <w:t>.</w:t>
      </w:r>
    </w:p>
    <w:p w14:paraId="57801FF0" w14:textId="77777777" w:rsidR="003E40A5" w:rsidRPr="0036468F" w:rsidRDefault="003E40A5" w:rsidP="003E40A5">
      <w:pPr>
        <w:pStyle w:val="ListParagraph"/>
        <w:numPr>
          <w:ilvl w:val="0"/>
          <w:numId w:val="10"/>
        </w:numPr>
        <w:bidi/>
        <w:spacing w:line="320" w:lineRule="exact"/>
        <w:jc w:val="both"/>
        <w:rPr>
          <w:rFonts w:cstheme="minorHAnsi"/>
          <w:sz w:val="24"/>
          <w:szCs w:val="24"/>
          <w:rtl/>
        </w:rPr>
      </w:pPr>
      <w:r w:rsidRPr="0036468F">
        <w:rPr>
          <w:rFonts w:cstheme="minorHAnsi" w:hint="cs"/>
          <w:sz w:val="24"/>
          <w:szCs w:val="24"/>
          <w:rtl/>
          <w:lang w:bidi="he-IL"/>
        </w:rPr>
        <w:t>קיימת</w:t>
      </w:r>
      <w:r w:rsidRPr="0036468F">
        <w:rPr>
          <w:rFonts w:cstheme="minorHAnsi"/>
          <w:sz w:val="24"/>
          <w:szCs w:val="24"/>
          <w:rtl/>
          <w:lang w:bidi="he-IL"/>
        </w:rPr>
        <w:t xml:space="preserve"> חשיבות לש</w:t>
      </w:r>
      <w:r w:rsidR="00F32A6E">
        <w:rPr>
          <w:rFonts w:cstheme="minorHAnsi" w:hint="cs"/>
          <w:sz w:val="24"/>
          <w:szCs w:val="24"/>
          <w:rtl/>
          <w:lang w:bidi="he-IL"/>
        </w:rPr>
        <w:t>י</w:t>
      </w:r>
      <w:r w:rsidRPr="0036468F">
        <w:rPr>
          <w:rFonts w:cstheme="minorHAnsi"/>
          <w:sz w:val="24"/>
          <w:szCs w:val="24"/>
          <w:rtl/>
          <w:lang w:bidi="he-IL"/>
        </w:rPr>
        <w:t>ל</w:t>
      </w:r>
      <w:r w:rsidR="00F32A6E">
        <w:rPr>
          <w:rFonts w:cstheme="minorHAnsi" w:hint="cs"/>
          <w:sz w:val="24"/>
          <w:szCs w:val="24"/>
          <w:rtl/>
          <w:lang w:bidi="he-IL"/>
        </w:rPr>
        <w:t>ו</w:t>
      </w:r>
      <w:r w:rsidRPr="0036468F">
        <w:rPr>
          <w:rFonts w:cstheme="minorHAnsi"/>
          <w:sz w:val="24"/>
          <w:szCs w:val="24"/>
          <w:rtl/>
          <w:lang w:bidi="he-IL"/>
        </w:rPr>
        <w:t>ב וק</w:t>
      </w:r>
      <w:r w:rsidR="00F32A6E">
        <w:rPr>
          <w:rFonts w:cstheme="minorHAnsi" w:hint="cs"/>
          <w:sz w:val="24"/>
          <w:szCs w:val="24"/>
          <w:rtl/>
          <w:lang w:bidi="he-IL"/>
        </w:rPr>
        <w:t>י</w:t>
      </w:r>
      <w:r w:rsidRPr="0036468F">
        <w:rPr>
          <w:rFonts w:cstheme="minorHAnsi"/>
          <w:sz w:val="24"/>
          <w:szCs w:val="24"/>
          <w:rtl/>
          <w:lang w:bidi="he-IL"/>
        </w:rPr>
        <w:t>ש</w:t>
      </w:r>
      <w:r w:rsidR="00F32A6E">
        <w:rPr>
          <w:rFonts w:cstheme="minorHAnsi" w:hint="cs"/>
          <w:sz w:val="24"/>
          <w:szCs w:val="24"/>
          <w:rtl/>
          <w:lang w:bidi="he-IL"/>
        </w:rPr>
        <w:t>ו</w:t>
      </w:r>
      <w:r w:rsidRPr="0036468F">
        <w:rPr>
          <w:rFonts w:cstheme="minorHAnsi"/>
          <w:sz w:val="24"/>
          <w:szCs w:val="24"/>
          <w:rtl/>
          <w:lang w:bidi="he-IL"/>
        </w:rPr>
        <w:t>ר בין מערכי מידע שלא היו קשורים בעבר</w:t>
      </w:r>
      <w:r w:rsidRPr="0036468F">
        <w:rPr>
          <w:rFonts w:cstheme="minorHAnsi"/>
          <w:sz w:val="24"/>
          <w:szCs w:val="24"/>
          <w:rtl/>
        </w:rPr>
        <w:t xml:space="preserve">, </w:t>
      </w:r>
      <w:r w:rsidRPr="0036468F">
        <w:rPr>
          <w:rFonts w:cstheme="minorHAnsi"/>
          <w:sz w:val="24"/>
          <w:szCs w:val="24"/>
          <w:rtl/>
          <w:lang w:bidi="he-IL"/>
        </w:rPr>
        <w:t>באיכות ובכמות שלא היו קיימות בעבר ולהיות מנותחות על</w:t>
      </w:r>
      <w:r w:rsidRPr="0036468F">
        <w:rPr>
          <w:rFonts w:cstheme="minorHAnsi"/>
          <w:sz w:val="24"/>
          <w:szCs w:val="24"/>
          <w:rtl/>
        </w:rPr>
        <w:t>-</w:t>
      </w:r>
      <w:r w:rsidRPr="0036468F">
        <w:rPr>
          <w:rFonts w:cstheme="minorHAnsi"/>
          <w:sz w:val="24"/>
          <w:szCs w:val="24"/>
          <w:rtl/>
          <w:lang w:bidi="he-IL"/>
        </w:rPr>
        <w:t>ידי שימוש חדשני באלגוריתמים</w:t>
      </w:r>
      <w:r w:rsidRPr="0036468F">
        <w:rPr>
          <w:rFonts w:cstheme="minorHAnsi"/>
          <w:sz w:val="24"/>
          <w:szCs w:val="24"/>
          <w:rtl/>
        </w:rPr>
        <w:t xml:space="preserve">. </w:t>
      </w:r>
      <w:r>
        <w:rPr>
          <w:rFonts w:cstheme="minorHAnsi" w:hint="cs"/>
          <w:sz w:val="24"/>
          <w:szCs w:val="24"/>
          <w:rtl/>
          <w:lang w:bidi="he-IL"/>
        </w:rPr>
        <w:t>לעתים</w:t>
      </w:r>
      <w:r w:rsidRPr="0036468F">
        <w:rPr>
          <w:rFonts w:cstheme="minorHAnsi"/>
          <w:sz w:val="24"/>
          <w:szCs w:val="24"/>
          <w:rtl/>
          <w:lang w:bidi="he-IL"/>
        </w:rPr>
        <w:t xml:space="preserve"> ניתן לקבוע רק בדיעבד</w:t>
      </w:r>
      <w:r w:rsidRPr="0036468F">
        <w:rPr>
          <w:rFonts w:cstheme="minorHAnsi"/>
          <w:sz w:val="24"/>
          <w:szCs w:val="24"/>
          <w:rtl/>
        </w:rPr>
        <w:t xml:space="preserve">, </w:t>
      </w:r>
      <w:r w:rsidRPr="0036468F">
        <w:rPr>
          <w:rFonts w:cstheme="minorHAnsi"/>
          <w:sz w:val="24"/>
          <w:szCs w:val="24"/>
          <w:rtl/>
          <w:lang w:bidi="he-IL"/>
        </w:rPr>
        <w:t>לאחר תום המחקר</w:t>
      </w:r>
      <w:r w:rsidRPr="0036468F">
        <w:rPr>
          <w:rFonts w:cstheme="minorHAnsi"/>
          <w:sz w:val="24"/>
          <w:szCs w:val="24"/>
          <w:rtl/>
        </w:rPr>
        <w:t xml:space="preserve">, </w:t>
      </w:r>
      <w:r w:rsidRPr="0036468F">
        <w:rPr>
          <w:rFonts w:cstheme="minorHAnsi"/>
          <w:sz w:val="24"/>
          <w:szCs w:val="24"/>
          <w:rtl/>
          <w:lang w:bidi="he-IL"/>
        </w:rPr>
        <w:t>אילו פר</w:t>
      </w:r>
      <w:r>
        <w:rPr>
          <w:rFonts w:cstheme="minorHAnsi" w:hint="cs"/>
          <w:sz w:val="24"/>
          <w:szCs w:val="24"/>
          <w:rtl/>
          <w:lang w:bidi="he-IL"/>
        </w:rPr>
        <w:t>י</w:t>
      </w:r>
      <w:r w:rsidRPr="0036468F">
        <w:rPr>
          <w:rFonts w:cstheme="minorHAnsi"/>
          <w:sz w:val="24"/>
          <w:szCs w:val="24"/>
          <w:rtl/>
          <w:lang w:bidi="he-IL"/>
        </w:rPr>
        <w:t>טי מידע היו בלתי</w:t>
      </w:r>
      <w:r w:rsidRPr="0036468F">
        <w:rPr>
          <w:rFonts w:cstheme="minorHAnsi"/>
          <w:sz w:val="24"/>
          <w:szCs w:val="24"/>
          <w:rtl/>
        </w:rPr>
        <w:t>-</w:t>
      </w:r>
      <w:r w:rsidRPr="0036468F">
        <w:rPr>
          <w:rFonts w:cstheme="minorHAnsi"/>
          <w:sz w:val="24"/>
          <w:szCs w:val="24"/>
          <w:rtl/>
          <w:lang w:bidi="he-IL"/>
        </w:rPr>
        <w:t>חיוניים למחקר</w:t>
      </w:r>
      <w:r w:rsidRPr="0036468F">
        <w:rPr>
          <w:rFonts w:cstheme="minorHAnsi"/>
          <w:sz w:val="24"/>
          <w:szCs w:val="24"/>
          <w:rtl/>
        </w:rPr>
        <w:t xml:space="preserve">. </w:t>
      </w:r>
    </w:p>
    <w:p w14:paraId="695627F5" w14:textId="77777777" w:rsidR="003E40A5" w:rsidRPr="0039738C" w:rsidRDefault="003E40A5" w:rsidP="003E40A5">
      <w:pPr>
        <w:pStyle w:val="ListParagraph"/>
        <w:numPr>
          <w:ilvl w:val="0"/>
          <w:numId w:val="10"/>
        </w:numPr>
        <w:bidi/>
        <w:spacing w:line="320" w:lineRule="exact"/>
        <w:jc w:val="both"/>
        <w:rPr>
          <w:rFonts w:cstheme="minorHAnsi"/>
          <w:sz w:val="26"/>
          <w:szCs w:val="26"/>
        </w:rPr>
      </w:pPr>
      <w:r w:rsidRPr="0039738C">
        <w:rPr>
          <w:rFonts w:cstheme="minorHAnsi"/>
          <w:sz w:val="24"/>
          <w:szCs w:val="24"/>
          <w:rtl/>
          <w:lang w:bidi="he-IL"/>
        </w:rPr>
        <w:t xml:space="preserve">התקנות אינן מספקות מענה למצב </w:t>
      </w:r>
      <w:r>
        <w:rPr>
          <w:rFonts w:cstheme="minorHAnsi" w:hint="cs"/>
          <w:sz w:val="24"/>
          <w:szCs w:val="24"/>
          <w:rtl/>
          <w:lang w:bidi="he-IL"/>
        </w:rPr>
        <w:t>ש</w:t>
      </w:r>
      <w:r w:rsidRPr="0039738C">
        <w:rPr>
          <w:rFonts w:cstheme="minorHAnsi"/>
          <w:sz w:val="24"/>
          <w:szCs w:val="24"/>
          <w:rtl/>
          <w:lang w:bidi="he-IL"/>
        </w:rPr>
        <w:t>בו ארגון הבריאות אינו מעוניין לשתף מידע</w:t>
      </w:r>
      <w:r>
        <w:rPr>
          <w:rFonts w:cstheme="minorHAnsi" w:hint="cs"/>
          <w:sz w:val="24"/>
          <w:szCs w:val="24"/>
          <w:rtl/>
          <w:lang w:bidi="he-IL"/>
        </w:rPr>
        <w:t>.</w:t>
      </w:r>
      <w:r w:rsidRPr="0039738C">
        <w:rPr>
          <w:rFonts w:cstheme="minorHAnsi" w:hint="cs"/>
          <w:sz w:val="24"/>
          <w:szCs w:val="24"/>
          <w:rtl/>
          <w:lang w:bidi="he-IL"/>
        </w:rPr>
        <w:t xml:space="preserve"> </w:t>
      </w:r>
      <w:r w:rsidRPr="0039738C">
        <w:rPr>
          <w:rFonts w:cstheme="minorHAnsi"/>
          <w:sz w:val="24"/>
          <w:szCs w:val="24"/>
          <w:rtl/>
          <w:lang w:bidi="he-IL"/>
        </w:rPr>
        <w:t>נדרש מנגנון ערעור שיכריע בדבר</w:t>
      </w:r>
      <w:r w:rsidRPr="0039738C">
        <w:rPr>
          <w:rFonts w:cstheme="minorHAnsi"/>
          <w:sz w:val="24"/>
          <w:szCs w:val="24"/>
          <w:rtl/>
        </w:rPr>
        <w:t>.</w:t>
      </w:r>
    </w:p>
    <w:p w14:paraId="2947BFD1" w14:textId="77777777" w:rsidR="003E40A5" w:rsidRPr="0036468F" w:rsidRDefault="003E40A5" w:rsidP="003E40A5">
      <w:pPr>
        <w:pStyle w:val="ListParagraph"/>
        <w:numPr>
          <w:ilvl w:val="0"/>
          <w:numId w:val="10"/>
        </w:numPr>
        <w:bidi/>
        <w:spacing w:line="320" w:lineRule="exact"/>
        <w:jc w:val="both"/>
        <w:rPr>
          <w:rFonts w:cstheme="minorHAnsi"/>
          <w:sz w:val="24"/>
          <w:szCs w:val="24"/>
        </w:rPr>
      </w:pPr>
      <w:r w:rsidRPr="0036468F">
        <w:rPr>
          <w:rFonts w:cstheme="minorHAnsi"/>
          <w:sz w:val="24"/>
          <w:szCs w:val="24"/>
          <w:rtl/>
          <w:lang w:bidi="he-IL"/>
        </w:rPr>
        <w:t xml:space="preserve">קיים חשש להדרה </w:t>
      </w:r>
      <w:r w:rsidRPr="0036468F">
        <w:rPr>
          <w:rFonts w:cstheme="minorHAnsi"/>
          <w:sz w:val="24"/>
          <w:szCs w:val="24"/>
          <w:rtl/>
        </w:rPr>
        <w:t>(</w:t>
      </w:r>
      <w:r w:rsidRPr="0036468F">
        <w:rPr>
          <w:rFonts w:cstheme="minorHAnsi"/>
          <w:sz w:val="24"/>
          <w:szCs w:val="24"/>
        </w:rPr>
        <w:t>(exclusion</w:t>
      </w:r>
      <w:r w:rsidRPr="0036468F">
        <w:rPr>
          <w:rFonts w:cstheme="minorHAnsi"/>
          <w:sz w:val="24"/>
          <w:szCs w:val="24"/>
          <w:rtl/>
          <w:lang w:bidi="he-IL"/>
        </w:rPr>
        <w:t xml:space="preserve"> של חוקרים ישראליים במצב של קושי בשיתוף מידע ממאגרים</w:t>
      </w:r>
      <w:r>
        <w:rPr>
          <w:rFonts w:cstheme="minorHAnsi" w:hint="cs"/>
          <w:sz w:val="24"/>
          <w:szCs w:val="24"/>
          <w:rtl/>
          <w:lang w:bidi="he-IL"/>
        </w:rPr>
        <w:t>.</w:t>
      </w:r>
    </w:p>
    <w:p w14:paraId="40967849" w14:textId="77777777" w:rsidR="003E40A5" w:rsidRPr="004F7CBD" w:rsidRDefault="003E40A5" w:rsidP="003E40A5">
      <w:pPr>
        <w:pStyle w:val="ListParagraph"/>
        <w:numPr>
          <w:ilvl w:val="0"/>
          <w:numId w:val="10"/>
        </w:numPr>
        <w:bidi/>
        <w:spacing w:line="320" w:lineRule="exact"/>
        <w:jc w:val="both"/>
        <w:rPr>
          <w:rFonts w:cstheme="minorHAnsi"/>
          <w:sz w:val="24"/>
          <w:szCs w:val="24"/>
        </w:rPr>
      </w:pPr>
      <w:r w:rsidRPr="00157399">
        <w:rPr>
          <w:rFonts w:cstheme="minorHAnsi"/>
          <w:sz w:val="24"/>
          <w:szCs w:val="24"/>
          <w:rtl/>
          <w:lang w:bidi="he-IL"/>
        </w:rPr>
        <w:t>הבירוקרטיה והרגולציה הישראלית מכבידה יותר מאשר במקומות אחרים בעולם</w:t>
      </w:r>
      <w:r w:rsidRPr="00EF5314">
        <w:rPr>
          <w:rFonts w:cstheme="minorHAnsi" w:hint="cs"/>
          <w:sz w:val="24"/>
          <w:szCs w:val="24"/>
          <w:rtl/>
          <w:lang w:bidi="he-IL"/>
        </w:rPr>
        <w:t xml:space="preserve"> </w:t>
      </w:r>
      <w:r>
        <w:rPr>
          <w:rFonts w:cstheme="minorHAnsi" w:hint="cs"/>
          <w:sz w:val="24"/>
          <w:szCs w:val="24"/>
          <w:rtl/>
          <w:lang w:bidi="he-IL"/>
        </w:rPr>
        <w:t>ודרישת המדיניות הישראלית שזהות החוקר תהיה ישראלית והמחקר יתנהל בישראל</w:t>
      </w:r>
      <w:r w:rsidRPr="00157399">
        <w:rPr>
          <w:rFonts w:cstheme="minorHAnsi"/>
          <w:sz w:val="24"/>
          <w:szCs w:val="24"/>
          <w:rtl/>
        </w:rPr>
        <w:t xml:space="preserve">. </w:t>
      </w:r>
      <w:r>
        <w:rPr>
          <w:rFonts w:cstheme="minorHAnsi" w:hint="cs"/>
          <w:sz w:val="24"/>
          <w:szCs w:val="24"/>
          <w:rtl/>
          <w:lang w:bidi="he-IL"/>
        </w:rPr>
        <w:t xml:space="preserve">זאת כאשר </w:t>
      </w:r>
      <w:r w:rsidRPr="00157399">
        <w:rPr>
          <w:rFonts w:cstheme="minorHAnsi"/>
          <w:sz w:val="24"/>
          <w:szCs w:val="24"/>
          <w:rtl/>
          <w:lang w:bidi="he-IL"/>
        </w:rPr>
        <w:t>מחקרים הופכים להיות יותר ויותר בינ</w:t>
      </w:r>
      <w:r w:rsidRPr="00157399">
        <w:rPr>
          <w:rFonts w:cstheme="minorHAnsi"/>
          <w:sz w:val="24"/>
          <w:szCs w:val="24"/>
          <w:rtl/>
        </w:rPr>
        <w:t>"</w:t>
      </w:r>
      <w:r w:rsidRPr="00157399">
        <w:rPr>
          <w:rFonts w:cstheme="minorHAnsi"/>
          <w:sz w:val="24"/>
          <w:szCs w:val="24"/>
          <w:rtl/>
          <w:lang w:bidi="he-IL"/>
        </w:rPr>
        <w:t>ל</w:t>
      </w:r>
      <w:r w:rsidRPr="00157399">
        <w:rPr>
          <w:rFonts w:cstheme="minorHAnsi"/>
          <w:sz w:val="24"/>
          <w:szCs w:val="24"/>
          <w:rtl/>
        </w:rPr>
        <w:t xml:space="preserve">, </w:t>
      </w:r>
      <w:r w:rsidRPr="00157399">
        <w:rPr>
          <w:rFonts w:cstheme="minorHAnsi"/>
          <w:sz w:val="24"/>
          <w:szCs w:val="24"/>
          <w:rtl/>
          <w:lang w:bidi="he-IL"/>
        </w:rPr>
        <w:t>והרגולציה המקומית נדרשת לקחת בחשבון את הצורך ב</w:t>
      </w:r>
      <w:r>
        <w:rPr>
          <w:rFonts w:cstheme="minorHAnsi" w:hint="cs"/>
          <w:sz w:val="24"/>
          <w:szCs w:val="24"/>
          <w:rtl/>
          <w:lang w:bidi="he-IL"/>
        </w:rPr>
        <w:t xml:space="preserve">שיתופיות בינלאומית </w:t>
      </w:r>
      <w:r w:rsidRPr="00157399">
        <w:rPr>
          <w:rFonts w:cstheme="minorHAnsi"/>
          <w:sz w:val="24"/>
          <w:szCs w:val="24"/>
          <w:rtl/>
          <w:lang w:bidi="he-IL"/>
        </w:rPr>
        <w:t>של נתוני העתק</w:t>
      </w:r>
      <w:r w:rsidRPr="00157399">
        <w:rPr>
          <w:rFonts w:cstheme="minorHAnsi"/>
          <w:sz w:val="24"/>
          <w:szCs w:val="24"/>
          <w:rtl/>
        </w:rPr>
        <w:t>.</w:t>
      </w:r>
      <w:r>
        <w:rPr>
          <w:rFonts w:cstheme="minorHAnsi" w:hint="cs"/>
          <w:sz w:val="24"/>
          <w:szCs w:val="24"/>
          <w:rtl/>
          <w:lang w:bidi="he-IL"/>
        </w:rPr>
        <w:t xml:space="preserve"> </w:t>
      </w:r>
      <w:r w:rsidRPr="00157399">
        <w:rPr>
          <w:rFonts w:cstheme="minorHAnsi"/>
          <w:sz w:val="24"/>
          <w:szCs w:val="24"/>
          <w:rtl/>
          <w:lang w:bidi="he-IL"/>
        </w:rPr>
        <w:t>הדבר יוצר מורכבות שהגופים המחקריים מתקשים איתה ועשוי לגרום לחברות רב</w:t>
      </w:r>
      <w:r w:rsidRPr="00157399">
        <w:rPr>
          <w:rFonts w:cstheme="minorHAnsi"/>
          <w:sz w:val="24"/>
          <w:szCs w:val="24"/>
          <w:rtl/>
        </w:rPr>
        <w:t>-</w:t>
      </w:r>
      <w:r w:rsidRPr="00157399">
        <w:rPr>
          <w:rFonts w:cstheme="minorHAnsi"/>
          <w:sz w:val="24"/>
          <w:szCs w:val="24"/>
          <w:rtl/>
          <w:lang w:bidi="he-IL"/>
        </w:rPr>
        <w:t>לאומיות לוותר בשל כך על ישראל כאתר מחקרי</w:t>
      </w:r>
      <w:r w:rsidRPr="00157399">
        <w:rPr>
          <w:rFonts w:cstheme="minorHAnsi"/>
          <w:sz w:val="24"/>
          <w:szCs w:val="24"/>
          <w:rtl/>
        </w:rPr>
        <w:t xml:space="preserve">. </w:t>
      </w:r>
      <w:r w:rsidRPr="00157399">
        <w:rPr>
          <w:rFonts w:cstheme="minorHAnsi"/>
          <w:sz w:val="24"/>
          <w:szCs w:val="24"/>
          <w:rtl/>
          <w:lang w:bidi="he-IL"/>
        </w:rPr>
        <w:t>אי</w:t>
      </w:r>
      <w:r w:rsidRPr="00157399">
        <w:rPr>
          <w:rFonts w:cstheme="minorHAnsi"/>
          <w:sz w:val="24"/>
          <w:szCs w:val="24"/>
          <w:rtl/>
        </w:rPr>
        <w:t>-</w:t>
      </w:r>
      <w:r w:rsidRPr="00157399">
        <w:rPr>
          <w:rFonts w:cstheme="minorHAnsi"/>
          <w:sz w:val="24"/>
          <w:szCs w:val="24"/>
          <w:rtl/>
          <w:lang w:bidi="he-IL"/>
        </w:rPr>
        <w:t>הכללת נתוני עתק רפואיים אודות מטופלים מישראל במחקרים בינ</w:t>
      </w:r>
      <w:r w:rsidRPr="00157399">
        <w:rPr>
          <w:rFonts w:cstheme="minorHAnsi"/>
          <w:sz w:val="24"/>
          <w:szCs w:val="24"/>
          <w:rtl/>
        </w:rPr>
        <w:t>"</w:t>
      </w:r>
      <w:r w:rsidRPr="00157399">
        <w:rPr>
          <w:rFonts w:cstheme="minorHAnsi"/>
          <w:sz w:val="24"/>
          <w:szCs w:val="24"/>
          <w:rtl/>
          <w:lang w:bidi="he-IL"/>
        </w:rPr>
        <w:t>ל</w:t>
      </w:r>
      <w:r w:rsidRPr="00157399">
        <w:rPr>
          <w:rFonts w:cstheme="minorHAnsi"/>
          <w:sz w:val="24"/>
          <w:szCs w:val="24"/>
          <w:rtl/>
        </w:rPr>
        <w:t xml:space="preserve">, </w:t>
      </w:r>
      <w:r w:rsidRPr="00157399">
        <w:rPr>
          <w:rFonts w:cstheme="minorHAnsi"/>
          <w:sz w:val="24"/>
          <w:szCs w:val="24"/>
          <w:rtl/>
          <w:lang w:bidi="he-IL"/>
        </w:rPr>
        <w:t>עלולה להביא למניעת תועלת מציבור החולים הרלבנטי בארץ</w:t>
      </w:r>
      <w:r w:rsidRPr="00157399">
        <w:rPr>
          <w:rFonts w:cstheme="minorHAnsi"/>
          <w:sz w:val="24"/>
          <w:szCs w:val="24"/>
          <w:rtl/>
        </w:rPr>
        <w:t xml:space="preserve">, </w:t>
      </w:r>
      <w:r w:rsidRPr="00157399">
        <w:rPr>
          <w:rFonts w:cstheme="minorHAnsi"/>
          <w:sz w:val="24"/>
          <w:szCs w:val="24"/>
          <w:rtl/>
          <w:lang w:bidi="he-IL"/>
        </w:rPr>
        <w:t>כאשר תוצאות המחקרים יהיו בלתי</w:t>
      </w:r>
      <w:r w:rsidRPr="00157399">
        <w:rPr>
          <w:rFonts w:cstheme="minorHAnsi"/>
          <w:sz w:val="24"/>
          <w:szCs w:val="24"/>
          <w:rtl/>
        </w:rPr>
        <w:t>-</w:t>
      </w:r>
      <w:r w:rsidRPr="00157399">
        <w:rPr>
          <w:rFonts w:cstheme="minorHAnsi"/>
          <w:sz w:val="24"/>
          <w:szCs w:val="24"/>
          <w:rtl/>
          <w:lang w:bidi="he-IL"/>
        </w:rPr>
        <w:t>רלבנטיים עבורם</w:t>
      </w:r>
      <w:r w:rsidRPr="00157399">
        <w:rPr>
          <w:rFonts w:cstheme="minorHAnsi"/>
          <w:sz w:val="24"/>
          <w:szCs w:val="24"/>
          <w:rtl/>
        </w:rPr>
        <w:t xml:space="preserve">. </w:t>
      </w:r>
    </w:p>
    <w:p w14:paraId="67916DAC" w14:textId="77777777" w:rsidR="003E40A5" w:rsidRPr="00157399" w:rsidRDefault="003E40A5" w:rsidP="003E40A5">
      <w:pPr>
        <w:bidi/>
        <w:spacing w:after="160" w:line="320" w:lineRule="exact"/>
        <w:jc w:val="both"/>
        <w:rPr>
          <w:rFonts w:asciiTheme="minorHAnsi" w:hAnsiTheme="minorHAnsi" w:cstheme="minorHAnsi"/>
          <w:u w:val="single"/>
          <w:rtl/>
        </w:rPr>
      </w:pPr>
      <w:r>
        <w:rPr>
          <w:rFonts w:asciiTheme="minorHAnsi" w:hAnsiTheme="minorHAnsi" w:cstheme="minorHAnsi" w:hint="cs"/>
          <w:u w:val="single"/>
          <w:rtl/>
        </w:rPr>
        <w:t>הערות</w:t>
      </w:r>
      <w:r w:rsidRPr="00157399">
        <w:rPr>
          <w:rFonts w:asciiTheme="minorHAnsi" w:hAnsiTheme="minorHAnsi" w:cstheme="minorHAnsi"/>
          <w:u w:val="single"/>
          <w:rtl/>
        </w:rPr>
        <w:t xml:space="preserve"> שהועלו ע"י </w:t>
      </w:r>
      <w:r w:rsidRPr="00157399">
        <w:rPr>
          <w:rFonts w:asciiTheme="minorHAnsi" w:hAnsiTheme="minorHAnsi" w:cstheme="minorHAnsi"/>
          <w:b/>
          <w:bCs/>
          <w:u w:val="single"/>
          <w:rtl/>
        </w:rPr>
        <w:t>ארגוני בריאות (מחזיקי וספקי נתונים)</w:t>
      </w:r>
      <w:r w:rsidRPr="00157399">
        <w:rPr>
          <w:rFonts w:asciiTheme="minorHAnsi" w:hAnsiTheme="minorHAnsi" w:cstheme="minorHAnsi"/>
          <w:rtl/>
        </w:rPr>
        <w:t>:</w:t>
      </w:r>
    </w:p>
    <w:p w14:paraId="51294191" w14:textId="77777777" w:rsidR="003E40A5" w:rsidRPr="00DB371B" w:rsidRDefault="003E40A5" w:rsidP="003E40A5">
      <w:pPr>
        <w:pStyle w:val="ListParagraph"/>
        <w:numPr>
          <w:ilvl w:val="0"/>
          <w:numId w:val="13"/>
        </w:numPr>
        <w:bidi/>
        <w:spacing w:line="320" w:lineRule="exact"/>
        <w:jc w:val="both"/>
        <w:rPr>
          <w:rFonts w:cstheme="minorHAnsi"/>
          <w:sz w:val="24"/>
          <w:szCs w:val="24"/>
        </w:rPr>
      </w:pPr>
      <w:r w:rsidRPr="00157399">
        <w:rPr>
          <w:rFonts w:cstheme="minorHAnsi"/>
          <w:sz w:val="24"/>
          <w:szCs w:val="24"/>
          <w:rtl/>
          <w:lang w:bidi="he-IL"/>
        </w:rPr>
        <w:t>האם סביבת מחקר אצל ספק מחשוב ענן</w:t>
      </w:r>
      <w:r w:rsidRPr="00157399">
        <w:rPr>
          <w:rFonts w:cstheme="minorHAnsi"/>
          <w:sz w:val="24"/>
          <w:szCs w:val="24"/>
          <w:rtl/>
        </w:rPr>
        <w:t xml:space="preserve">, </w:t>
      </w:r>
      <w:r w:rsidRPr="00157399">
        <w:rPr>
          <w:rFonts w:cstheme="minorHAnsi"/>
          <w:sz w:val="24"/>
          <w:szCs w:val="24"/>
          <w:rtl/>
          <w:lang w:bidi="he-IL"/>
        </w:rPr>
        <w:t>מחוץ למתקני ארגון הבריאות</w:t>
      </w:r>
      <w:r w:rsidRPr="00157399">
        <w:rPr>
          <w:rFonts w:cstheme="minorHAnsi"/>
          <w:sz w:val="24"/>
          <w:szCs w:val="24"/>
          <w:rtl/>
        </w:rPr>
        <w:t xml:space="preserve">, </w:t>
      </w:r>
      <w:r w:rsidRPr="00157399">
        <w:rPr>
          <w:rFonts w:cstheme="minorHAnsi"/>
          <w:sz w:val="24"/>
          <w:szCs w:val="24"/>
          <w:rtl/>
          <w:lang w:bidi="he-IL"/>
        </w:rPr>
        <w:t>המותקנת מוגדרת ומנוהלת לצורכי</w:t>
      </w:r>
      <w:r w:rsidRPr="00157399">
        <w:rPr>
          <w:rFonts w:cstheme="minorHAnsi"/>
          <w:sz w:val="24"/>
          <w:szCs w:val="24"/>
          <w:u w:val="single"/>
          <w:rtl/>
          <w:lang w:bidi="he-IL"/>
        </w:rPr>
        <w:t xml:space="preserve"> </w:t>
      </w:r>
      <w:r w:rsidRPr="00162C99">
        <w:rPr>
          <w:rFonts w:cstheme="minorHAnsi"/>
          <w:sz w:val="24"/>
          <w:szCs w:val="24"/>
          <w:rtl/>
          <w:lang w:bidi="he-IL"/>
        </w:rPr>
        <w:t>ארגון הבריאות</w:t>
      </w:r>
      <w:r w:rsidRPr="00157399">
        <w:rPr>
          <w:rFonts w:cstheme="minorHAnsi"/>
          <w:sz w:val="24"/>
          <w:szCs w:val="24"/>
          <w:rtl/>
        </w:rPr>
        <w:t xml:space="preserve">, </w:t>
      </w:r>
      <w:r w:rsidRPr="00157399">
        <w:rPr>
          <w:rFonts w:cstheme="minorHAnsi"/>
          <w:sz w:val="24"/>
          <w:szCs w:val="24"/>
          <w:rtl/>
          <w:lang w:bidi="he-IL"/>
        </w:rPr>
        <w:t xml:space="preserve">מקיימת </w:t>
      </w:r>
      <w:r w:rsidRPr="00157399">
        <w:rPr>
          <w:rFonts w:cstheme="minorHAnsi"/>
          <w:sz w:val="24"/>
          <w:szCs w:val="24"/>
          <w:rtl/>
        </w:rPr>
        <w:t>(</w:t>
      </w:r>
      <w:r w:rsidRPr="00157399">
        <w:rPr>
          <w:rFonts w:cstheme="minorHAnsi"/>
          <w:sz w:val="24"/>
          <w:szCs w:val="24"/>
          <w:rtl/>
          <w:lang w:bidi="he-IL"/>
        </w:rPr>
        <w:t>גם אם באופן וירטואלי</w:t>
      </w:r>
      <w:r w:rsidRPr="00157399">
        <w:rPr>
          <w:rFonts w:cstheme="minorHAnsi"/>
          <w:sz w:val="24"/>
          <w:szCs w:val="24"/>
          <w:rtl/>
        </w:rPr>
        <w:t xml:space="preserve">) </w:t>
      </w:r>
      <w:r w:rsidRPr="00157399">
        <w:rPr>
          <w:rFonts w:cstheme="minorHAnsi"/>
          <w:sz w:val="24"/>
          <w:szCs w:val="24"/>
          <w:rtl/>
          <w:lang w:bidi="he-IL"/>
        </w:rPr>
        <w:t xml:space="preserve">את דרישת </w:t>
      </w:r>
      <w:r w:rsidRPr="00157399">
        <w:rPr>
          <w:rFonts w:cstheme="minorHAnsi"/>
          <w:sz w:val="24"/>
          <w:szCs w:val="24"/>
          <w:rtl/>
        </w:rPr>
        <w:t>"</w:t>
      </w:r>
      <w:r w:rsidRPr="00157399">
        <w:rPr>
          <w:rFonts w:cstheme="minorHAnsi"/>
          <w:sz w:val="24"/>
          <w:szCs w:val="24"/>
          <w:rtl/>
          <w:lang w:bidi="he-IL"/>
        </w:rPr>
        <w:t>בחצרי ארגון הבריאות</w:t>
      </w:r>
      <w:r w:rsidRPr="00157399">
        <w:rPr>
          <w:rFonts w:cstheme="minorHAnsi"/>
          <w:sz w:val="24"/>
          <w:szCs w:val="24"/>
          <w:rtl/>
        </w:rPr>
        <w:t xml:space="preserve">"? </w:t>
      </w:r>
    </w:p>
    <w:p w14:paraId="36C52899" w14:textId="77777777" w:rsidR="003E40A5" w:rsidRPr="00DB371B" w:rsidRDefault="003E40A5" w:rsidP="003E40A5">
      <w:pPr>
        <w:pStyle w:val="ListParagraph"/>
        <w:numPr>
          <w:ilvl w:val="0"/>
          <w:numId w:val="13"/>
        </w:numPr>
        <w:bidi/>
        <w:spacing w:line="320" w:lineRule="exact"/>
        <w:jc w:val="both"/>
        <w:rPr>
          <w:rFonts w:cstheme="minorHAnsi"/>
          <w:sz w:val="24"/>
          <w:szCs w:val="24"/>
          <w:rtl/>
        </w:rPr>
      </w:pPr>
      <w:r w:rsidRPr="00157399">
        <w:rPr>
          <w:rFonts w:cstheme="minorHAnsi"/>
          <w:sz w:val="24"/>
          <w:szCs w:val="24"/>
          <w:rtl/>
          <w:lang w:bidi="he-IL"/>
        </w:rPr>
        <w:t xml:space="preserve">אין זה ברור מן התקנות האם זה אֵתי </w:t>
      </w:r>
      <w:r>
        <w:rPr>
          <w:rFonts w:cstheme="minorHAnsi" w:hint="cs"/>
          <w:sz w:val="24"/>
          <w:szCs w:val="24"/>
          <w:rtl/>
          <w:lang w:bidi="he-IL"/>
        </w:rPr>
        <w:t xml:space="preserve">וחוקי </w:t>
      </w:r>
      <w:r w:rsidRPr="00157399">
        <w:rPr>
          <w:rFonts w:cstheme="minorHAnsi"/>
          <w:sz w:val="24"/>
          <w:szCs w:val="24"/>
          <w:rtl/>
          <w:lang w:bidi="he-IL"/>
        </w:rPr>
        <w:t>מצד ארגון הבריאות לבקש תמורה ממבקשי השימוש עבור הנגשת הנתונים</w:t>
      </w:r>
      <w:r w:rsidRPr="00157399">
        <w:rPr>
          <w:rFonts w:cstheme="minorHAnsi"/>
          <w:sz w:val="24"/>
          <w:szCs w:val="24"/>
          <w:rtl/>
        </w:rPr>
        <w:t>.</w:t>
      </w:r>
    </w:p>
    <w:p w14:paraId="44B35604" w14:textId="77777777" w:rsidR="003E40A5" w:rsidRPr="00DB371B" w:rsidRDefault="003E40A5" w:rsidP="003E40A5">
      <w:pPr>
        <w:pStyle w:val="ListParagraph"/>
        <w:numPr>
          <w:ilvl w:val="0"/>
          <w:numId w:val="13"/>
        </w:numPr>
        <w:bidi/>
        <w:spacing w:line="320" w:lineRule="exact"/>
        <w:jc w:val="both"/>
        <w:rPr>
          <w:rFonts w:cstheme="minorHAnsi"/>
          <w:sz w:val="24"/>
          <w:szCs w:val="24"/>
          <w:rtl/>
        </w:rPr>
      </w:pPr>
      <w:r>
        <w:rPr>
          <w:rFonts w:cstheme="minorHAnsi" w:hint="cs"/>
          <w:sz w:val="24"/>
          <w:szCs w:val="24"/>
          <w:rtl/>
          <w:lang w:bidi="he-IL"/>
        </w:rPr>
        <w:t>תהליך ניהול הו</w:t>
      </w:r>
      <w:r w:rsidR="00F32A6E">
        <w:rPr>
          <w:rFonts w:cstheme="minorHAnsi" w:hint="cs"/>
          <w:sz w:val="24"/>
          <w:szCs w:val="24"/>
          <w:rtl/>
          <w:lang w:bidi="he-IL"/>
        </w:rPr>
        <w:t>ו</w:t>
      </w:r>
      <w:r>
        <w:rPr>
          <w:rFonts w:cstheme="minorHAnsi" w:hint="cs"/>
          <w:sz w:val="24"/>
          <w:szCs w:val="24"/>
          <w:rtl/>
          <w:lang w:bidi="he-IL"/>
        </w:rPr>
        <w:t>עדות כבד ומכביד. עדיף שתוקם תשתית מרכזית מדינתית שבה ירוכז כל המידע של ארגוני הבריאות.</w:t>
      </w:r>
    </w:p>
    <w:p w14:paraId="2EF7A887" w14:textId="77777777" w:rsidR="003E40A5" w:rsidRPr="0020050E" w:rsidRDefault="003E40A5" w:rsidP="003E40A5">
      <w:pPr>
        <w:pStyle w:val="ListParagraph"/>
        <w:numPr>
          <w:ilvl w:val="0"/>
          <w:numId w:val="13"/>
        </w:numPr>
        <w:bidi/>
        <w:spacing w:line="320" w:lineRule="exact"/>
        <w:jc w:val="both"/>
        <w:rPr>
          <w:rFonts w:cstheme="minorHAnsi"/>
          <w:sz w:val="24"/>
          <w:szCs w:val="24"/>
          <w:rtl/>
        </w:rPr>
      </w:pPr>
      <w:r w:rsidRPr="00157399">
        <w:rPr>
          <w:rFonts w:cstheme="minorHAnsi"/>
          <w:sz w:val="24"/>
          <w:szCs w:val="24"/>
          <w:rtl/>
          <w:lang w:bidi="he-IL"/>
        </w:rPr>
        <w:t>ישנם גופי</w:t>
      </w:r>
      <w:r>
        <w:rPr>
          <w:rFonts w:cstheme="minorHAnsi" w:hint="cs"/>
          <w:sz w:val="24"/>
          <w:szCs w:val="24"/>
          <w:rtl/>
          <w:lang w:bidi="he-IL"/>
        </w:rPr>
        <w:t>ם</w:t>
      </w:r>
      <w:r w:rsidRPr="00157399">
        <w:rPr>
          <w:rFonts w:cstheme="minorHAnsi"/>
          <w:sz w:val="24"/>
          <w:szCs w:val="24"/>
          <w:rtl/>
          <w:lang w:bidi="he-IL"/>
        </w:rPr>
        <w:t xml:space="preserve"> רבים</w:t>
      </w:r>
      <w:r w:rsidRPr="00157399">
        <w:rPr>
          <w:rFonts w:cstheme="minorHAnsi"/>
          <w:sz w:val="24"/>
          <w:szCs w:val="24"/>
          <w:rtl/>
        </w:rPr>
        <w:t xml:space="preserve">, </w:t>
      </w:r>
      <w:r w:rsidRPr="00157399">
        <w:rPr>
          <w:rFonts w:cstheme="minorHAnsi"/>
          <w:sz w:val="24"/>
          <w:szCs w:val="24"/>
          <w:rtl/>
          <w:lang w:bidi="he-IL"/>
        </w:rPr>
        <w:t>כגון</w:t>
      </w:r>
      <w:r w:rsidRPr="00157399">
        <w:rPr>
          <w:rFonts w:cstheme="minorHAnsi"/>
          <w:sz w:val="24"/>
          <w:szCs w:val="24"/>
          <w:rtl/>
        </w:rPr>
        <w:t xml:space="preserve">: </w:t>
      </w:r>
      <w:r w:rsidRPr="00157399">
        <w:rPr>
          <w:rFonts w:cstheme="minorHAnsi"/>
          <w:sz w:val="24"/>
          <w:szCs w:val="24"/>
          <w:rtl/>
          <w:lang w:bidi="he-IL"/>
        </w:rPr>
        <w:t>גופי מחקר בריאות אמריקאיים</w:t>
      </w:r>
      <w:r w:rsidRPr="00157399">
        <w:rPr>
          <w:rFonts w:cstheme="minorHAnsi"/>
          <w:sz w:val="24"/>
          <w:szCs w:val="24"/>
          <w:rtl/>
        </w:rPr>
        <w:t xml:space="preserve">, </w:t>
      </w:r>
      <w:r w:rsidRPr="00157399">
        <w:rPr>
          <w:rFonts w:cstheme="minorHAnsi"/>
          <w:sz w:val="24"/>
          <w:szCs w:val="24"/>
          <w:rtl/>
          <w:lang w:bidi="he-IL"/>
        </w:rPr>
        <w:t>בתי חולים בארה</w:t>
      </w:r>
      <w:r w:rsidRPr="00157399">
        <w:rPr>
          <w:rFonts w:cstheme="minorHAnsi"/>
          <w:sz w:val="24"/>
          <w:szCs w:val="24"/>
          <w:rtl/>
        </w:rPr>
        <w:t>"</w:t>
      </w:r>
      <w:r w:rsidRPr="00157399">
        <w:rPr>
          <w:rFonts w:cstheme="minorHAnsi"/>
          <w:sz w:val="24"/>
          <w:szCs w:val="24"/>
          <w:rtl/>
          <w:lang w:bidi="he-IL"/>
        </w:rPr>
        <w:t>ב וכיו</w:t>
      </w:r>
      <w:r w:rsidRPr="00157399">
        <w:rPr>
          <w:rFonts w:cstheme="minorHAnsi"/>
          <w:sz w:val="24"/>
          <w:szCs w:val="24"/>
          <w:rtl/>
        </w:rPr>
        <w:t>"</w:t>
      </w:r>
      <w:r w:rsidRPr="00157399">
        <w:rPr>
          <w:rFonts w:cstheme="minorHAnsi"/>
          <w:sz w:val="24"/>
          <w:szCs w:val="24"/>
          <w:rtl/>
          <w:lang w:bidi="he-IL"/>
        </w:rPr>
        <w:t>ב</w:t>
      </w:r>
      <w:r>
        <w:rPr>
          <w:rFonts w:cstheme="minorHAnsi" w:hint="cs"/>
          <w:sz w:val="24"/>
          <w:szCs w:val="24"/>
          <w:rtl/>
          <w:lang w:bidi="he-IL"/>
        </w:rPr>
        <w:t xml:space="preserve"> </w:t>
      </w:r>
      <w:r w:rsidRPr="00157399">
        <w:rPr>
          <w:rFonts w:cstheme="minorHAnsi"/>
          <w:sz w:val="24"/>
          <w:szCs w:val="24"/>
          <w:rtl/>
          <w:lang w:bidi="he-IL"/>
        </w:rPr>
        <w:t>שיש עניין גדול לשתף אותם במחקרי בריאות</w:t>
      </w:r>
      <w:r w:rsidRPr="00157399">
        <w:rPr>
          <w:rFonts w:cstheme="minorHAnsi"/>
          <w:sz w:val="24"/>
          <w:szCs w:val="24"/>
          <w:rtl/>
        </w:rPr>
        <w:t xml:space="preserve">, </w:t>
      </w:r>
      <w:r w:rsidRPr="00157399">
        <w:rPr>
          <w:rFonts w:cstheme="minorHAnsi"/>
          <w:sz w:val="24"/>
          <w:szCs w:val="24"/>
          <w:rtl/>
          <w:lang w:bidi="he-IL"/>
        </w:rPr>
        <w:t>אך אין כל היתכנות לכך שגופים אלו ירשמו בישראל או שיסכימו להיות כפופים לדין הישראלי</w:t>
      </w:r>
      <w:r w:rsidRPr="00157399">
        <w:rPr>
          <w:rFonts w:cstheme="minorHAnsi"/>
          <w:sz w:val="24"/>
          <w:szCs w:val="24"/>
          <w:rtl/>
        </w:rPr>
        <w:t xml:space="preserve">. </w:t>
      </w:r>
    </w:p>
    <w:p w14:paraId="6E090B0C" w14:textId="77777777" w:rsidR="003E40A5" w:rsidRPr="0039738C" w:rsidRDefault="003E40A5" w:rsidP="003E40A5">
      <w:pPr>
        <w:pStyle w:val="ListParagraph"/>
        <w:numPr>
          <w:ilvl w:val="0"/>
          <w:numId w:val="13"/>
        </w:numPr>
        <w:bidi/>
        <w:spacing w:line="320" w:lineRule="exact"/>
        <w:jc w:val="both"/>
        <w:rPr>
          <w:rFonts w:cstheme="minorHAnsi"/>
          <w:sz w:val="24"/>
          <w:szCs w:val="24"/>
          <w:rtl/>
        </w:rPr>
      </w:pPr>
      <w:r w:rsidRPr="00157399">
        <w:rPr>
          <w:rFonts w:cstheme="minorHAnsi"/>
          <w:sz w:val="24"/>
          <w:szCs w:val="24"/>
          <w:rtl/>
          <w:lang w:bidi="he-IL"/>
        </w:rPr>
        <w:t>קיימת היום דרישה גוברת לקבל את הנתונים הגולמיים של מחקרים המפורסמים בכתבי</w:t>
      </w:r>
      <w:r w:rsidRPr="00157399">
        <w:rPr>
          <w:rFonts w:cstheme="minorHAnsi"/>
          <w:sz w:val="24"/>
          <w:szCs w:val="24"/>
          <w:rtl/>
        </w:rPr>
        <w:t>-</w:t>
      </w:r>
      <w:r w:rsidRPr="00157399">
        <w:rPr>
          <w:rFonts w:cstheme="minorHAnsi"/>
          <w:sz w:val="24"/>
          <w:szCs w:val="24"/>
          <w:rtl/>
          <w:lang w:bidi="he-IL"/>
        </w:rPr>
        <w:t xml:space="preserve">עת מדעיים לשם בחינת </w:t>
      </w:r>
      <w:r>
        <w:rPr>
          <w:rFonts w:cstheme="minorHAnsi" w:hint="cs"/>
          <w:sz w:val="24"/>
          <w:szCs w:val="24"/>
          <w:rtl/>
          <w:lang w:bidi="he-IL"/>
        </w:rPr>
        <w:t xml:space="preserve">אמינות ותקיפות </w:t>
      </w:r>
      <w:r w:rsidRPr="00157399">
        <w:rPr>
          <w:rFonts w:cstheme="minorHAnsi"/>
          <w:sz w:val="24"/>
          <w:szCs w:val="24"/>
          <w:rtl/>
          <w:lang w:bidi="he-IL"/>
        </w:rPr>
        <w:t>מסקנותיהם</w:t>
      </w:r>
      <w:r w:rsidRPr="00157399">
        <w:rPr>
          <w:rFonts w:cstheme="minorHAnsi"/>
          <w:sz w:val="24"/>
          <w:szCs w:val="24"/>
          <w:rtl/>
        </w:rPr>
        <w:t xml:space="preserve">. </w:t>
      </w:r>
      <w:r>
        <w:rPr>
          <w:rFonts w:cstheme="minorHAnsi" w:hint="cs"/>
          <w:sz w:val="24"/>
          <w:szCs w:val="24"/>
          <w:rtl/>
          <w:lang w:bidi="he-IL"/>
        </w:rPr>
        <w:t>המגבלה על הוצאת מידע מחדר המחקר הוירטואלי מתנגשת עם צורך זה.</w:t>
      </w:r>
    </w:p>
    <w:p w14:paraId="6BF9BA8D" w14:textId="77777777" w:rsidR="003E40A5" w:rsidRPr="00157399" w:rsidRDefault="003E40A5" w:rsidP="003E40A5">
      <w:pPr>
        <w:bidi/>
        <w:spacing w:after="160" w:line="320" w:lineRule="exact"/>
        <w:jc w:val="both"/>
        <w:rPr>
          <w:rFonts w:asciiTheme="minorHAnsi" w:hAnsiTheme="minorHAnsi" w:cstheme="minorHAnsi"/>
          <w:u w:val="single"/>
          <w:rtl/>
        </w:rPr>
      </w:pPr>
      <w:r>
        <w:rPr>
          <w:rFonts w:asciiTheme="minorHAnsi" w:hAnsiTheme="minorHAnsi" w:cstheme="minorHAnsi" w:hint="cs"/>
          <w:u w:val="single"/>
          <w:rtl/>
        </w:rPr>
        <w:t>הערות</w:t>
      </w:r>
      <w:r w:rsidRPr="00157399">
        <w:rPr>
          <w:rFonts w:asciiTheme="minorHAnsi" w:hAnsiTheme="minorHAnsi" w:cstheme="minorHAnsi"/>
          <w:u w:val="single"/>
          <w:rtl/>
        </w:rPr>
        <w:t xml:space="preserve"> שהועלו ע"י </w:t>
      </w:r>
      <w:r w:rsidRPr="00157399">
        <w:rPr>
          <w:rFonts w:asciiTheme="minorHAnsi" w:hAnsiTheme="minorHAnsi" w:cstheme="minorHAnsi"/>
          <w:b/>
          <w:bCs/>
          <w:u w:val="single"/>
          <w:rtl/>
        </w:rPr>
        <w:t>אנשי מדיניות</w:t>
      </w:r>
      <w:r w:rsidRPr="00157399">
        <w:rPr>
          <w:rFonts w:asciiTheme="minorHAnsi" w:hAnsiTheme="minorHAnsi" w:cstheme="minorHAnsi"/>
          <w:rtl/>
        </w:rPr>
        <w:t>:</w:t>
      </w:r>
    </w:p>
    <w:p w14:paraId="6676A257" w14:textId="77777777" w:rsidR="003E40A5" w:rsidRPr="0039738C" w:rsidRDefault="003E40A5" w:rsidP="003E40A5">
      <w:pPr>
        <w:pStyle w:val="ListParagraph"/>
        <w:numPr>
          <w:ilvl w:val="0"/>
          <w:numId w:val="11"/>
        </w:numPr>
        <w:bidi/>
        <w:spacing w:line="320" w:lineRule="exact"/>
        <w:jc w:val="both"/>
        <w:rPr>
          <w:rFonts w:cstheme="minorHAnsi"/>
          <w:sz w:val="24"/>
          <w:szCs w:val="24"/>
        </w:rPr>
      </w:pPr>
      <w:r>
        <w:rPr>
          <w:rFonts w:cstheme="minorHAnsi" w:hint="cs"/>
          <w:sz w:val="24"/>
          <w:szCs w:val="24"/>
          <w:rtl/>
          <w:lang w:bidi="he-IL"/>
        </w:rPr>
        <w:t>נדרשת בהסדר</w:t>
      </w:r>
      <w:r w:rsidRPr="00157399">
        <w:rPr>
          <w:rFonts w:cstheme="minorHAnsi"/>
          <w:sz w:val="24"/>
          <w:szCs w:val="24"/>
          <w:rtl/>
          <w:lang w:bidi="he-IL"/>
        </w:rPr>
        <w:t xml:space="preserve"> בדיקת נאותות </w:t>
      </w:r>
      <w:r w:rsidRPr="00157399">
        <w:rPr>
          <w:rFonts w:cstheme="minorHAnsi"/>
          <w:sz w:val="24"/>
          <w:szCs w:val="24"/>
          <w:rtl/>
        </w:rPr>
        <w:t>(</w:t>
      </w:r>
      <w:r w:rsidRPr="00157399">
        <w:rPr>
          <w:rFonts w:cstheme="minorHAnsi"/>
          <w:sz w:val="24"/>
          <w:szCs w:val="24"/>
        </w:rPr>
        <w:t>(due diligence</w:t>
      </w:r>
      <w:r w:rsidRPr="00157399">
        <w:rPr>
          <w:rFonts w:cstheme="minorHAnsi"/>
          <w:sz w:val="24"/>
          <w:szCs w:val="24"/>
          <w:rtl/>
          <w:lang w:bidi="he-IL"/>
        </w:rPr>
        <w:t xml:space="preserve"> לחברה</w:t>
      </w:r>
      <w:r>
        <w:rPr>
          <w:rFonts w:cstheme="minorHAnsi" w:hint="cs"/>
          <w:sz w:val="24"/>
          <w:szCs w:val="24"/>
          <w:rtl/>
          <w:lang w:bidi="he-IL"/>
        </w:rPr>
        <w:t>/חוקר</w:t>
      </w:r>
      <w:r w:rsidRPr="00157399">
        <w:rPr>
          <w:rFonts w:cstheme="minorHAnsi"/>
          <w:sz w:val="24"/>
          <w:szCs w:val="24"/>
          <w:rtl/>
          <w:lang w:bidi="he-IL"/>
        </w:rPr>
        <w:t xml:space="preserve"> המבקשת שימוש בנתונים</w:t>
      </w:r>
      <w:r>
        <w:rPr>
          <w:rFonts w:cstheme="minorHAnsi" w:hint="cs"/>
          <w:sz w:val="24"/>
          <w:szCs w:val="24"/>
          <w:rtl/>
          <w:lang w:bidi="he-IL"/>
        </w:rPr>
        <w:t>.</w:t>
      </w:r>
      <w:r w:rsidRPr="00157399">
        <w:rPr>
          <w:rFonts w:cstheme="minorHAnsi"/>
          <w:sz w:val="24"/>
          <w:szCs w:val="24"/>
          <w:rtl/>
        </w:rPr>
        <w:t xml:space="preserve"> </w:t>
      </w:r>
      <w:r>
        <w:rPr>
          <w:rFonts w:cstheme="minorHAnsi" w:hint="cs"/>
          <w:sz w:val="24"/>
          <w:szCs w:val="24"/>
          <w:rtl/>
          <w:lang w:bidi="he-IL"/>
        </w:rPr>
        <w:t>לחברי הוועדה אין</w:t>
      </w:r>
      <w:r w:rsidRPr="00157399">
        <w:rPr>
          <w:rFonts w:cstheme="minorHAnsi"/>
          <w:sz w:val="24"/>
          <w:szCs w:val="24"/>
          <w:rtl/>
          <w:lang w:bidi="he-IL"/>
        </w:rPr>
        <w:t xml:space="preserve"> כלים ומשאבים לבחון את נאותות החברה המבקשת</w:t>
      </w:r>
      <w:r w:rsidRPr="00157399">
        <w:rPr>
          <w:rFonts w:cstheme="minorHAnsi"/>
          <w:sz w:val="24"/>
          <w:szCs w:val="24"/>
          <w:rtl/>
        </w:rPr>
        <w:t xml:space="preserve">, </w:t>
      </w:r>
      <w:r w:rsidRPr="00157399">
        <w:rPr>
          <w:rFonts w:cstheme="minorHAnsi"/>
          <w:sz w:val="24"/>
          <w:szCs w:val="24"/>
          <w:rtl/>
          <w:lang w:bidi="he-IL"/>
        </w:rPr>
        <w:t>זהות בעליה והמוטיבציה שלה לביצוע המחקר</w:t>
      </w:r>
      <w:r>
        <w:rPr>
          <w:rFonts w:cstheme="minorHAnsi" w:hint="cs"/>
          <w:sz w:val="24"/>
          <w:szCs w:val="24"/>
          <w:rtl/>
          <w:lang w:bidi="he-IL"/>
        </w:rPr>
        <w:t>.</w:t>
      </w:r>
    </w:p>
    <w:p w14:paraId="703ECBD4" w14:textId="77777777" w:rsidR="003E40A5" w:rsidRPr="0039738C" w:rsidRDefault="003E40A5" w:rsidP="003E40A5">
      <w:pPr>
        <w:pStyle w:val="ListParagraph"/>
        <w:numPr>
          <w:ilvl w:val="0"/>
          <w:numId w:val="11"/>
        </w:numPr>
        <w:bidi/>
        <w:spacing w:line="320" w:lineRule="exact"/>
        <w:jc w:val="both"/>
        <w:rPr>
          <w:rFonts w:cstheme="minorHAnsi"/>
          <w:sz w:val="24"/>
          <w:szCs w:val="24"/>
        </w:rPr>
      </w:pPr>
      <w:r w:rsidRPr="00157399">
        <w:rPr>
          <w:rFonts w:cstheme="minorHAnsi"/>
          <w:sz w:val="24"/>
          <w:szCs w:val="24"/>
          <w:rtl/>
          <w:lang w:bidi="he-IL"/>
        </w:rPr>
        <w:t>התקנות החדשות יוחלו על ארגוני הבריאות בלבד ואף האכיפה תתבצע כלפיהם בלבד</w:t>
      </w:r>
      <w:r w:rsidRPr="00157399">
        <w:rPr>
          <w:rFonts w:cstheme="minorHAnsi"/>
          <w:sz w:val="24"/>
          <w:szCs w:val="24"/>
          <w:rtl/>
        </w:rPr>
        <w:t xml:space="preserve">. </w:t>
      </w:r>
      <w:r>
        <w:rPr>
          <w:rFonts w:cstheme="minorHAnsi" w:hint="cs"/>
          <w:sz w:val="24"/>
          <w:szCs w:val="24"/>
          <w:rtl/>
          <w:lang w:bidi="he-IL"/>
        </w:rPr>
        <w:t xml:space="preserve">חסרה אכיפה על </w:t>
      </w:r>
      <w:r w:rsidRPr="00157399">
        <w:rPr>
          <w:rFonts w:cstheme="minorHAnsi"/>
          <w:sz w:val="24"/>
          <w:szCs w:val="24"/>
          <w:rtl/>
          <w:lang w:bidi="he-IL"/>
        </w:rPr>
        <w:t xml:space="preserve">מבקשי </w:t>
      </w:r>
      <w:r>
        <w:rPr>
          <w:rFonts w:cstheme="minorHAnsi" w:hint="cs"/>
          <w:sz w:val="24"/>
          <w:szCs w:val="24"/>
          <w:rtl/>
          <w:lang w:bidi="he-IL"/>
        </w:rPr>
        <w:t>ה</w:t>
      </w:r>
      <w:r w:rsidRPr="00157399">
        <w:rPr>
          <w:rFonts w:cstheme="minorHAnsi"/>
          <w:sz w:val="24"/>
          <w:szCs w:val="24"/>
          <w:rtl/>
          <w:lang w:bidi="he-IL"/>
        </w:rPr>
        <w:t>שימוש בנתונים</w:t>
      </w:r>
      <w:r>
        <w:rPr>
          <w:rFonts w:cstheme="minorHAnsi" w:hint="cs"/>
          <w:sz w:val="24"/>
          <w:szCs w:val="24"/>
          <w:rtl/>
          <w:lang w:bidi="he-IL"/>
        </w:rPr>
        <w:t xml:space="preserve"> שעשויים להפר את ההסדר.</w:t>
      </w:r>
    </w:p>
    <w:p w14:paraId="341E7742" w14:textId="77777777" w:rsidR="003E40A5" w:rsidRPr="0039738C" w:rsidRDefault="003E40A5" w:rsidP="003E40A5">
      <w:pPr>
        <w:pStyle w:val="ListParagraph"/>
        <w:numPr>
          <w:ilvl w:val="0"/>
          <w:numId w:val="11"/>
        </w:numPr>
        <w:bidi/>
        <w:spacing w:line="320" w:lineRule="exact"/>
        <w:jc w:val="both"/>
        <w:rPr>
          <w:rFonts w:cstheme="minorHAnsi"/>
          <w:sz w:val="24"/>
          <w:szCs w:val="24"/>
        </w:rPr>
      </w:pPr>
      <w:r w:rsidRPr="00157399">
        <w:rPr>
          <w:rFonts w:cstheme="minorHAnsi"/>
          <w:sz w:val="24"/>
          <w:szCs w:val="24"/>
          <w:rtl/>
          <w:lang w:bidi="he-IL"/>
        </w:rPr>
        <w:t xml:space="preserve">קיים יתרון בהסתמכות על </w:t>
      </w:r>
      <w:r w:rsidRPr="00157399">
        <w:rPr>
          <w:rFonts w:cstheme="minorHAnsi"/>
          <w:sz w:val="24"/>
          <w:szCs w:val="24"/>
        </w:rPr>
        <w:t>databases</w:t>
      </w:r>
      <w:r w:rsidRPr="00157399">
        <w:rPr>
          <w:rFonts w:cstheme="minorHAnsi"/>
          <w:sz w:val="24"/>
          <w:szCs w:val="24"/>
          <w:rtl/>
          <w:lang w:bidi="he-IL"/>
        </w:rPr>
        <w:t xml:space="preserve"> מכמה מדינות</w:t>
      </w:r>
      <w:r w:rsidRPr="00157399">
        <w:rPr>
          <w:rFonts w:cstheme="minorHAnsi"/>
          <w:sz w:val="24"/>
          <w:szCs w:val="24"/>
          <w:rtl/>
        </w:rPr>
        <w:t xml:space="preserve">, </w:t>
      </w:r>
      <w:r w:rsidRPr="00157399">
        <w:rPr>
          <w:rFonts w:cstheme="minorHAnsi"/>
          <w:sz w:val="24"/>
          <w:szCs w:val="24"/>
          <w:rtl/>
          <w:lang w:bidi="he-IL"/>
        </w:rPr>
        <w:t>והוא משמעותי לקידום המחקר</w:t>
      </w:r>
      <w:r w:rsidRPr="00157399">
        <w:rPr>
          <w:rFonts w:cstheme="minorHAnsi"/>
          <w:sz w:val="24"/>
          <w:szCs w:val="24"/>
          <w:rtl/>
        </w:rPr>
        <w:t xml:space="preserve">. </w:t>
      </w:r>
      <w:r w:rsidRPr="00157399">
        <w:rPr>
          <w:rFonts w:cstheme="minorHAnsi"/>
          <w:sz w:val="24"/>
          <w:szCs w:val="24"/>
          <w:rtl/>
          <w:lang w:bidi="he-IL"/>
        </w:rPr>
        <w:t>כיום</w:t>
      </w:r>
      <w:r w:rsidRPr="00157399">
        <w:rPr>
          <w:rFonts w:cstheme="minorHAnsi"/>
          <w:sz w:val="24"/>
          <w:szCs w:val="24"/>
          <w:rtl/>
        </w:rPr>
        <w:t xml:space="preserve">, </w:t>
      </w:r>
      <w:r w:rsidRPr="00157399">
        <w:rPr>
          <w:rFonts w:cstheme="minorHAnsi"/>
          <w:sz w:val="24"/>
          <w:szCs w:val="24"/>
          <w:rtl/>
          <w:lang w:bidi="he-IL"/>
        </w:rPr>
        <w:t>להבדיל מבעבר</w:t>
      </w:r>
      <w:r w:rsidRPr="00157399">
        <w:rPr>
          <w:rFonts w:cstheme="minorHAnsi"/>
          <w:sz w:val="24"/>
          <w:szCs w:val="24"/>
          <w:rtl/>
        </w:rPr>
        <w:t xml:space="preserve">, </w:t>
      </w:r>
      <w:r w:rsidRPr="00157399">
        <w:rPr>
          <w:rFonts w:cstheme="minorHAnsi"/>
          <w:sz w:val="24"/>
          <w:szCs w:val="24"/>
          <w:rtl/>
          <w:lang w:bidi="he-IL"/>
        </w:rPr>
        <w:t>נוצרה אפשרות להשתמש לצורך מחקרים במידע גלובאלי</w:t>
      </w:r>
      <w:r w:rsidRPr="00157399">
        <w:rPr>
          <w:rFonts w:cstheme="minorHAnsi"/>
          <w:sz w:val="24"/>
          <w:szCs w:val="24"/>
          <w:rtl/>
        </w:rPr>
        <w:t xml:space="preserve">. </w:t>
      </w:r>
      <w:r w:rsidRPr="00157399">
        <w:rPr>
          <w:rFonts w:cstheme="minorHAnsi"/>
          <w:sz w:val="24"/>
          <w:szCs w:val="24"/>
          <w:rtl/>
          <w:lang w:bidi="he-IL"/>
        </w:rPr>
        <w:t>הדרישה לבצע מחקר בכל מוסד בנפרד</w:t>
      </w:r>
      <w:r w:rsidRPr="00157399">
        <w:rPr>
          <w:rFonts w:cstheme="minorHAnsi"/>
          <w:sz w:val="24"/>
          <w:szCs w:val="24"/>
          <w:rtl/>
        </w:rPr>
        <w:t xml:space="preserve">, </w:t>
      </w:r>
      <w:r w:rsidRPr="00157399">
        <w:rPr>
          <w:rFonts w:cstheme="minorHAnsi"/>
          <w:sz w:val="24"/>
          <w:szCs w:val="24"/>
          <w:rtl/>
          <w:lang w:bidi="he-IL"/>
        </w:rPr>
        <w:t>בחצריו</w:t>
      </w:r>
      <w:r>
        <w:rPr>
          <w:rFonts w:cstheme="minorHAnsi" w:hint="cs"/>
          <w:sz w:val="24"/>
          <w:szCs w:val="24"/>
          <w:rtl/>
          <w:lang w:bidi="he-IL"/>
        </w:rPr>
        <w:t xml:space="preserve"> או בשליטתו,</w:t>
      </w:r>
      <w:r w:rsidRPr="00157399">
        <w:rPr>
          <w:rFonts w:cstheme="minorHAnsi"/>
          <w:sz w:val="24"/>
          <w:szCs w:val="24"/>
          <w:rtl/>
          <w:lang w:bidi="he-IL"/>
        </w:rPr>
        <w:t xml:space="preserve"> מגבילה מאוד את הפעילות המחקרית של מבקשי השימוש בנתונים</w:t>
      </w:r>
      <w:r w:rsidRPr="00157399">
        <w:rPr>
          <w:rFonts w:cstheme="minorHAnsi"/>
          <w:sz w:val="24"/>
          <w:szCs w:val="24"/>
          <w:rtl/>
        </w:rPr>
        <w:t>.</w:t>
      </w:r>
    </w:p>
    <w:p w14:paraId="0FD1E08B" w14:textId="77777777" w:rsidR="003E40A5" w:rsidRDefault="003E40A5" w:rsidP="003E40A5">
      <w:pPr>
        <w:pStyle w:val="ListParagraph"/>
        <w:numPr>
          <w:ilvl w:val="0"/>
          <w:numId w:val="11"/>
        </w:numPr>
        <w:bidi/>
        <w:spacing w:line="320" w:lineRule="exact"/>
        <w:jc w:val="both"/>
        <w:rPr>
          <w:rFonts w:cstheme="minorHAnsi"/>
          <w:sz w:val="24"/>
          <w:szCs w:val="24"/>
        </w:rPr>
      </w:pPr>
      <w:r w:rsidRPr="00157399">
        <w:rPr>
          <w:rFonts w:cstheme="minorHAnsi"/>
          <w:sz w:val="24"/>
          <w:szCs w:val="24"/>
          <w:rtl/>
          <w:lang w:bidi="he-IL"/>
        </w:rPr>
        <w:t>חסר בתקנות מדרג לרגישות המידע האישי</w:t>
      </w:r>
      <w:r w:rsidRPr="00157399">
        <w:rPr>
          <w:rFonts w:cstheme="minorHAnsi"/>
          <w:sz w:val="24"/>
          <w:szCs w:val="24"/>
          <w:rtl/>
        </w:rPr>
        <w:t xml:space="preserve">, </w:t>
      </w:r>
      <w:r w:rsidRPr="00157399">
        <w:rPr>
          <w:rFonts w:cstheme="minorHAnsi"/>
          <w:sz w:val="24"/>
          <w:szCs w:val="24"/>
          <w:rtl/>
          <w:lang w:bidi="he-IL"/>
        </w:rPr>
        <w:t>שהינו חיוני לבחינת המידתיות</w:t>
      </w:r>
      <w:r w:rsidRPr="00157399">
        <w:rPr>
          <w:rFonts w:cstheme="minorHAnsi"/>
          <w:sz w:val="24"/>
          <w:szCs w:val="24"/>
          <w:rtl/>
        </w:rPr>
        <w:t xml:space="preserve">. </w:t>
      </w:r>
      <w:r w:rsidRPr="00157399">
        <w:rPr>
          <w:rFonts w:cstheme="minorHAnsi"/>
          <w:sz w:val="24"/>
          <w:szCs w:val="24"/>
          <w:rtl/>
          <w:lang w:bidi="he-IL"/>
        </w:rPr>
        <w:t>למשל</w:t>
      </w:r>
      <w:r w:rsidRPr="00157399">
        <w:rPr>
          <w:rFonts w:cstheme="minorHAnsi"/>
          <w:sz w:val="24"/>
          <w:szCs w:val="24"/>
          <w:rtl/>
        </w:rPr>
        <w:t xml:space="preserve">, </w:t>
      </w:r>
      <w:r w:rsidRPr="00157399">
        <w:rPr>
          <w:rFonts w:cstheme="minorHAnsi"/>
          <w:sz w:val="24"/>
          <w:szCs w:val="24"/>
          <w:rtl/>
          <w:lang w:bidi="he-IL"/>
        </w:rPr>
        <w:t>פרטי</w:t>
      </w:r>
      <w:r w:rsidRPr="00157399">
        <w:rPr>
          <w:rFonts w:cstheme="minorHAnsi"/>
          <w:sz w:val="24"/>
          <w:szCs w:val="24"/>
          <w:rtl/>
        </w:rPr>
        <w:t>-</w:t>
      </w:r>
      <w:r w:rsidRPr="00157399">
        <w:rPr>
          <w:rFonts w:cstheme="minorHAnsi"/>
          <w:sz w:val="24"/>
          <w:szCs w:val="24"/>
          <w:rtl/>
          <w:lang w:bidi="he-IL"/>
        </w:rPr>
        <w:t>רגיש ופרטי</w:t>
      </w:r>
      <w:r w:rsidRPr="00157399">
        <w:rPr>
          <w:rFonts w:cstheme="minorHAnsi"/>
          <w:sz w:val="24"/>
          <w:szCs w:val="24"/>
          <w:rtl/>
        </w:rPr>
        <w:t>-</w:t>
      </w:r>
      <w:r w:rsidRPr="00157399">
        <w:rPr>
          <w:rFonts w:cstheme="minorHAnsi"/>
          <w:sz w:val="24"/>
          <w:szCs w:val="24"/>
          <w:rtl/>
          <w:lang w:bidi="he-IL"/>
        </w:rPr>
        <w:t>לא רגיש</w:t>
      </w:r>
      <w:r w:rsidRPr="00157399">
        <w:rPr>
          <w:rFonts w:cstheme="minorHAnsi"/>
          <w:sz w:val="24"/>
          <w:szCs w:val="24"/>
          <w:rtl/>
        </w:rPr>
        <w:t xml:space="preserve">. </w:t>
      </w:r>
      <w:r w:rsidRPr="00157399">
        <w:rPr>
          <w:rFonts w:cstheme="minorHAnsi"/>
          <w:sz w:val="24"/>
          <w:szCs w:val="24"/>
          <w:rtl/>
          <w:lang w:bidi="he-IL"/>
        </w:rPr>
        <w:t>לא כל המידע המזוהה יגרום בהכרח לנזק</w:t>
      </w:r>
      <w:r w:rsidRPr="00157399">
        <w:rPr>
          <w:rFonts w:cstheme="minorHAnsi"/>
          <w:sz w:val="24"/>
          <w:szCs w:val="24"/>
          <w:rtl/>
        </w:rPr>
        <w:t xml:space="preserve">. </w:t>
      </w:r>
      <w:r w:rsidRPr="00157399">
        <w:rPr>
          <w:rFonts w:cstheme="minorHAnsi"/>
          <w:sz w:val="24"/>
          <w:szCs w:val="24"/>
          <w:rtl/>
          <w:lang w:bidi="he-IL"/>
        </w:rPr>
        <w:t>לעיתים ניתן לספוג סיכון מסויים לזיהוי חוזר</w:t>
      </w:r>
      <w:r w:rsidRPr="00157399">
        <w:rPr>
          <w:rFonts w:cstheme="minorHAnsi"/>
          <w:sz w:val="24"/>
          <w:szCs w:val="24"/>
          <w:rtl/>
        </w:rPr>
        <w:t>.</w:t>
      </w:r>
    </w:p>
    <w:p w14:paraId="019FE581" w14:textId="77777777" w:rsidR="003E40A5" w:rsidRDefault="003E40A5" w:rsidP="003E40A5">
      <w:pPr>
        <w:pStyle w:val="ListParagraph"/>
        <w:numPr>
          <w:ilvl w:val="0"/>
          <w:numId w:val="11"/>
        </w:numPr>
        <w:bidi/>
        <w:spacing w:line="320" w:lineRule="exact"/>
        <w:jc w:val="both"/>
        <w:rPr>
          <w:rFonts w:cstheme="minorHAnsi"/>
          <w:sz w:val="24"/>
          <w:szCs w:val="24"/>
        </w:rPr>
      </w:pPr>
      <w:r w:rsidRPr="00157399">
        <w:rPr>
          <w:rFonts w:cstheme="minorHAnsi"/>
          <w:sz w:val="24"/>
          <w:szCs w:val="24"/>
          <w:rtl/>
          <w:lang w:bidi="he-IL"/>
        </w:rPr>
        <w:t>שימוש במידע בריאות מותמם במחקר רפואה מותאמת אישית הינו בעל ערך מוגבל</w:t>
      </w:r>
      <w:r>
        <w:rPr>
          <w:rFonts w:hint="cs"/>
          <w:rtl/>
          <w:lang w:bidi="he-IL"/>
        </w:rPr>
        <w:t xml:space="preserve"> </w:t>
      </w:r>
      <w:r w:rsidRPr="00157399">
        <w:rPr>
          <w:rFonts w:cstheme="minorHAnsi"/>
          <w:sz w:val="24"/>
          <w:szCs w:val="24"/>
          <w:rtl/>
          <w:lang w:bidi="he-IL"/>
        </w:rPr>
        <w:t>ולעיתים, התממה תמנע את מימוש מירב התועלת הפוטנציאלית שעשויה לצמוח ממחקר, עבור נושאי מידע הסובלים ממחלה נחקרת. במצבים מסויימים, בהיעדר יכולת  לשייך את המידע עליו מתבססות תוצאות המחקר לאדם ספציפי, לא יוכל אותו אדם, שלו אינטרס בסיסי בהשתתפות בתועלת מן הגילוי המחקרי, ליהנות מפירות המחקר.</w:t>
      </w:r>
    </w:p>
    <w:p w14:paraId="6E343165" w14:textId="77777777" w:rsidR="003E40A5" w:rsidRDefault="003E40A5" w:rsidP="003E40A5">
      <w:pPr>
        <w:pStyle w:val="ListParagraph"/>
        <w:numPr>
          <w:ilvl w:val="0"/>
          <w:numId w:val="11"/>
        </w:numPr>
        <w:bidi/>
        <w:spacing w:line="320" w:lineRule="exact"/>
        <w:jc w:val="both"/>
        <w:rPr>
          <w:rFonts w:cstheme="minorHAnsi"/>
          <w:sz w:val="24"/>
          <w:szCs w:val="24"/>
        </w:rPr>
      </w:pPr>
      <w:r>
        <w:rPr>
          <w:rFonts w:cstheme="minorHAnsi" w:hint="cs"/>
          <w:sz w:val="24"/>
          <w:szCs w:val="24"/>
          <w:rtl/>
          <w:lang w:bidi="he-IL"/>
        </w:rPr>
        <w:t>יש מקום להוסיף מנגנון ערר על החלטות ועדות ארגוני הבריאות לועדה הלאומית במשרד הבריאות.</w:t>
      </w:r>
    </w:p>
    <w:p w14:paraId="6357DDFC" w14:textId="77777777" w:rsidR="00EB1033" w:rsidRPr="0037572A" w:rsidRDefault="00EB1033" w:rsidP="00EB1033">
      <w:pPr>
        <w:bidi/>
        <w:spacing w:line="320" w:lineRule="exact"/>
        <w:jc w:val="both"/>
        <w:rPr>
          <w:rFonts w:cstheme="minorHAnsi"/>
          <w:rtl/>
        </w:rPr>
      </w:pPr>
    </w:p>
    <w:p w14:paraId="3CEC0050" w14:textId="77777777" w:rsidR="003E40A5" w:rsidRPr="007A0488" w:rsidRDefault="003E40A5" w:rsidP="003E40A5">
      <w:pPr>
        <w:pStyle w:val="ListParagraph"/>
        <w:numPr>
          <w:ilvl w:val="0"/>
          <w:numId w:val="9"/>
        </w:numPr>
        <w:bidi/>
        <w:spacing w:before="240" w:after="240" w:line="320" w:lineRule="exact"/>
        <w:jc w:val="both"/>
        <w:rPr>
          <w:rFonts w:cstheme="minorHAnsi"/>
          <w:b/>
          <w:bCs/>
          <w:color w:val="000000" w:themeColor="text1"/>
          <w:sz w:val="28"/>
          <w:szCs w:val="28"/>
          <w:rtl/>
        </w:rPr>
      </w:pPr>
      <w:r>
        <w:rPr>
          <w:rFonts w:cstheme="minorHAnsi" w:hint="cs"/>
          <w:b/>
          <w:bCs/>
          <w:color w:val="000000" w:themeColor="text1"/>
          <w:sz w:val="28"/>
          <w:szCs w:val="28"/>
          <w:rtl/>
          <w:lang w:bidi="he-IL"/>
        </w:rPr>
        <w:t>הערות והמלצות</w:t>
      </w:r>
    </w:p>
    <w:p w14:paraId="44D4C8E4" w14:textId="77777777" w:rsidR="003E40A5" w:rsidRDefault="003E40A5" w:rsidP="003E40A5">
      <w:pPr>
        <w:bidi/>
        <w:spacing w:after="160" w:line="240" w:lineRule="exact"/>
        <w:rPr>
          <w:rFonts w:asciiTheme="minorHAnsi" w:hAnsiTheme="minorHAnsi" w:cstheme="minorHAnsi"/>
          <w:rtl/>
        </w:rPr>
      </w:pPr>
      <w:r>
        <w:rPr>
          <w:rFonts w:asciiTheme="minorHAnsi" w:hAnsiTheme="minorHAnsi" w:cstheme="minorHAnsi" w:hint="cs"/>
          <w:rtl/>
        </w:rPr>
        <w:t xml:space="preserve">נוכח האמור לעיל , המדיניות הראויה ומערכת השיקולים הכרוכים ביישומה, להלן </w:t>
      </w:r>
      <w:r w:rsidR="0043358B">
        <w:rPr>
          <w:rFonts w:asciiTheme="minorHAnsi" w:hAnsiTheme="minorHAnsi" w:cstheme="minorHAnsi" w:hint="cs"/>
          <w:rtl/>
        </w:rPr>
        <w:t>מספר הערות והמלצות</w:t>
      </w:r>
      <w:r>
        <w:rPr>
          <w:rFonts w:asciiTheme="minorHAnsi" w:hAnsiTheme="minorHAnsi" w:cstheme="minorHAnsi" w:hint="cs"/>
          <w:rtl/>
        </w:rPr>
        <w:t xml:space="preserve"> להסדר:</w:t>
      </w:r>
    </w:p>
    <w:tbl>
      <w:tblPr>
        <w:tblStyle w:val="TableGrid"/>
        <w:bidiVisual/>
        <w:tblW w:w="9703" w:type="dxa"/>
        <w:tblLook w:val="04A0" w:firstRow="1" w:lastRow="0" w:firstColumn="1" w:lastColumn="0" w:noHBand="0" w:noVBand="1"/>
      </w:tblPr>
      <w:tblGrid>
        <w:gridCol w:w="1198"/>
        <w:gridCol w:w="8505"/>
      </w:tblGrid>
      <w:tr w:rsidR="003E40A5" w:rsidRPr="00157399" w14:paraId="01E05033" w14:textId="77777777" w:rsidTr="0099290B">
        <w:trPr>
          <w:trHeight w:val="528"/>
        </w:trPr>
        <w:tc>
          <w:tcPr>
            <w:tcW w:w="1198" w:type="dxa"/>
          </w:tcPr>
          <w:p w14:paraId="322BA5C6" w14:textId="77777777" w:rsidR="003E40A5" w:rsidRPr="00157399" w:rsidRDefault="003E40A5" w:rsidP="0099290B">
            <w:pPr>
              <w:bidi/>
              <w:spacing w:before="240" w:after="240" w:line="320" w:lineRule="exact"/>
              <w:jc w:val="center"/>
              <w:rPr>
                <w:rFonts w:cstheme="minorHAnsi"/>
                <w:b/>
                <w:bCs/>
                <w:sz w:val="28"/>
                <w:szCs w:val="28"/>
                <w:rtl/>
                <w:lang w:bidi="he-IL"/>
              </w:rPr>
            </w:pPr>
            <w:r w:rsidRPr="00157399">
              <w:rPr>
                <w:rFonts w:cstheme="minorHAnsi"/>
                <w:b/>
                <w:bCs/>
                <w:sz w:val="28"/>
                <w:szCs w:val="28"/>
                <w:rtl/>
                <w:lang w:bidi="he-IL"/>
              </w:rPr>
              <w:t>סעיף</w:t>
            </w:r>
          </w:p>
        </w:tc>
        <w:tc>
          <w:tcPr>
            <w:tcW w:w="8505" w:type="dxa"/>
          </w:tcPr>
          <w:p w14:paraId="4F8379B1" w14:textId="77777777" w:rsidR="003E40A5" w:rsidRPr="00157399" w:rsidRDefault="003E40A5" w:rsidP="0099290B">
            <w:pPr>
              <w:bidi/>
              <w:spacing w:before="240" w:after="240" w:line="320" w:lineRule="exact"/>
              <w:jc w:val="center"/>
              <w:rPr>
                <w:rFonts w:cstheme="minorHAnsi"/>
                <w:b/>
                <w:bCs/>
                <w:sz w:val="28"/>
                <w:szCs w:val="28"/>
                <w:rtl/>
                <w:lang w:bidi="he-IL"/>
              </w:rPr>
            </w:pPr>
            <w:r w:rsidRPr="00157399">
              <w:rPr>
                <w:rFonts w:cstheme="minorHAnsi"/>
                <w:b/>
                <w:bCs/>
                <w:sz w:val="28"/>
                <w:szCs w:val="28"/>
                <w:rtl/>
                <w:lang w:bidi="he-IL"/>
              </w:rPr>
              <w:t xml:space="preserve">הערות </w:t>
            </w:r>
            <w:r>
              <w:rPr>
                <w:rFonts w:cstheme="minorHAnsi" w:hint="cs"/>
                <w:b/>
                <w:bCs/>
                <w:sz w:val="28"/>
                <w:szCs w:val="28"/>
                <w:rtl/>
                <w:lang w:bidi="he-IL"/>
              </w:rPr>
              <w:t>והמלצות</w:t>
            </w:r>
          </w:p>
        </w:tc>
      </w:tr>
      <w:tr w:rsidR="003E40A5" w:rsidRPr="00157399" w14:paraId="25126EED" w14:textId="77777777" w:rsidTr="0099290B">
        <w:tc>
          <w:tcPr>
            <w:tcW w:w="1198" w:type="dxa"/>
          </w:tcPr>
          <w:p w14:paraId="1571604A" w14:textId="77777777" w:rsidR="003E40A5" w:rsidRPr="00157399" w:rsidRDefault="003E40A5" w:rsidP="0099290B">
            <w:pPr>
              <w:bidi/>
              <w:spacing w:before="240" w:after="240" w:line="320" w:lineRule="exact"/>
              <w:jc w:val="both"/>
              <w:rPr>
                <w:rFonts w:cstheme="minorHAnsi"/>
                <w:b/>
                <w:bCs/>
                <w:rtl/>
                <w:lang w:bidi="he-IL"/>
              </w:rPr>
            </w:pPr>
            <w:r w:rsidRPr="00157399">
              <w:rPr>
                <w:rFonts w:cstheme="minorHAnsi"/>
                <w:b/>
                <w:bCs/>
                <w:rtl/>
                <w:lang w:bidi="he-IL"/>
              </w:rPr>
              <w:t>2</w:t>
            </w:r>
          </w:p>
        </w:tc>
        <w:tc>
          <w:tcPr>
            <w:tcW w:w="8505" w:type="dxa"/>
          </w:tcPr>
          <w:p w14:paraId="3987AD5C" w14:textId="77777777" w:rsidR="003E40A5" w:rsidRPr="00157399" w:rsidRDefault="003E40A5" w:rsidP="0099290B">
            <w:pPr>
              <w:bidi/>
              <w:spacing w:before="240" w:after="240" w:line="320" w:lineRule="exact"/>
              <w:jc w:val="both"/>
              <w:rPr>
                <w:rFonts w:cstheme="minorHAnsi"/>
                <w:rtl/>
                <w:lang w:bidi="he-IL"/>
              </w:rPr>
            </w:pPr>
            <w:r w:rsidRPr="00157399">
              <w:rPr>
                <w:rFonts w:cstheme="minorHAnsi"/>
                <w:rtl/>
                <w:lang w:bidi="he-IL"/>
              </w:rPr>
              <w:t xml:space="preserve">בשנים האחרונות חלה האצה ביישומים של נתוני עתק רפואיים </w:t>
            </w:r>
            <w:r w:rsidRPr="00157399">
              <w:rPr>
                <w:rFonts w:cstheme="minorHAnsi"/>
                <w:lang w:bidi="he-IL"/>
              </w:rPr>
              <w:t>(Big health/medical data)</w:t>
            </w:r>
            <w:r w:rsidRPr="00157399">
              <w:rPr>
                <w:rFonts w:cstheme="minorHAnsi"/>
                <w:rtl/>
                <w:lang w:bidi="he-IL"/>
              </w:rPr>
              <w:t xml:space="preserve"> בטכנולוגיות מבוססות בינה מלאכותית (</w:t>
            </w:r>
            <w:r w:rsidRPr="00157399">
              <w:rPr>
                <w:rFonts w:cstheme="minorHAnsi"/>
                <w:lang w:bidi="he-IL"/>
              </w:rPr>
              <w:t>AI</w:t>
            </w:r>
            <w:r w:rsidRPr="00157399">
              <w:rPr>
                <w:rFonts w:cstheme="minorHAnsi"/>
                <w:rtl/>
                <w:lang w:bidi="he-IL"/>
              </w:rPr>
              <w:t xml:space="preserve">) ובמיוחד כאלו של למידת מכונה </w:t>
            </w:r>
            <w:r w:rsidRPr="00157399">
              <w:rPr>
                <w:rFonts w:cstheme="minorHAnsi"/>
                <w:lang w:bidi="he-IL"/>
              </w:rPr>
              <w:t>(Machine Learning)</w:t>
            </w:r>
            <w:r w:rsidRPr="00157399">
              <w:rPr>
                <w:rFonts w:cstheme="minorHAnsi"/>
                <w:rtl/>
                <w:lang w:bidi="he-IL"/>
              </w:rPr>
              <w:t xml:space="preserve">, המוזנות ב – </w:t>
            </w:r>
            <w:r w:rsidRPr="00157399">
              <w:rPr>
                <w:rFonts w:cstheme="minorHAnsi"/>
                <w:lang w:bidi="he-IL"/>
              </w:rPr>
              <w:t>data</w:t>
            </w:r>
            <w:r w:rsidRPr="00157399">
              <w:rPr>
                <w:rFonts w:cstheme="minorHAnsi"/>
                <w:rtl/>
                <w:lang w:bidi="he-IL"/>
              </w:rPr>
              <w:t xml:space="preserve"> ומאומנות </w:t>
            </w:r>
            <w:r w:rsidRPr="00157399">
              <w:rPr>
                <w:rFonts w:cstheme="minorHAnsi"/>
                <w:lang w:bidi="he-IL"/>
              </w:rPr>
              <w:t>(trained)</w:t>
            </w:r>
            <w:r w:rsidRPr="00157399">
              <w:rPr>
                <w:rFonts w:cstheme="minorHAnsi"/>
                <w:rtl/>
                <w:lang w:bidi="he-IL"/>
              </w:rPr>
              <w:t xml:space="preserve"> על בסיסו. לנוכח זאת, קיימת חשיבות בהקפדה על עקרונות אתיים חשובים נוספים, על-ידי אלה העושים שימוש מחקרי במידע בריאות, במהלך המחקר והפיתוח של אותן טכנולוגיות. העקרונות המדוברים הם אחריות </w:t>
            </w:r>
            <w:r w:rsidRPr="00157399">
              <w:rPr>
                <w:rFonts w:cstheme="minorHAnsi"/>
                <w:lang w:bidi="he-IL"/>
              </w:rPr>
              <w:t>(responsibility)</w:t>
            </w:r>
            <w:r w:rsidRPr="00157399">
              <w:rPr>
                <w:rFonts w:cstheme="minorHAnsi"/>
                <w:rtl/>
                <w:lang w:bidi="he-IL"/>
              </w:rPr>
              <w:t xml:space="preserve">, הן של ארגון הבריאות – אוסף ומחזיק המידע והן, של החוקר/מפתח; ואחריותיות </w:t>
            </w:r>
            <w:r w:rsidRPr="00157399">
              <w:rPr>
                <w:rFonts w:cstheme="minorHAnsi"/>
                <w:lang w:bidi="he-IL"/>
              </w:rPr>
              <w:t xml:space="preserve"> (accountability)</w:t>
            </w:r>
            <w:r w:rsidRPr="00157399">
              <w:rPr>
                <w:rFonts w:cstheme="minorHAnsi"/>
                <w:rtl/>
                <w:lang w:bidi="he-IL"/>
              </w:rPr>
              <w:t xml:space="preserve">של החוקר/המפתח. עקרונות אלו נדרשים בעיקר לשם יישום עקרון אתי נוסף והוא – שימוש בנתונים באופן שלא יגרום להטיה </w:t>
            </w:r>
            <w:r w:rsidRPr="00157399">
              <w:rPr>
                <w:rFonts w:cstheme="minorHAnsi"/>
                <w:lang w:bidi="he-IL"/>
              </w:rPr>
              <w:t>(bias)</w:t>
            </w:r>
            <w:r w:rsidRPr="00157399">
              <w:rPr>
                <w:rFonts w:cstheme="minorHAnsi"/>
                <w:rtl/>
                <w:lang w:bidi="he-IL"/>
              </w:rPr>
              <w:t xml:space="preserve">, או ינציח הטיות קיימות, באופן שיגרום להפליה או לסטיגמטיזציה של קבוצה/קהילה בחברה, ביישום הטכנולוגיה. לאור התגבשותם של עקרונות בינה מלאכותית </w:t>
            </w:r>
            <w:r w:rsidRPr="00157399">
              <w:rPr>
                <w:rFonts w:cstheme="minorHAnsi"/>
                <w:lang w:bidi="he-IL"/>
              </w:rPr>
              <w:t>(AI Principles)</w:t>
            </w:r>
            <w:r w:rsidRPr="00157399">
              <w:rPr>
                <w:rFonts w:cstheme="minorHAnsi"/>
                <w:rtl/>
                <w:lang w:bidi="he-IL"/>
              </w:rPr>
              <w:t xml:space="preserve"> בתעשייה ובממשל</w:t>
            </w:r>
            <w:r w:rsidRPr="00157399">
              <w:rPr>
                <w:rStyle w:val="FootnoteReference"/>
                <w:rFonts w:cstheme="minorHAnsi"/>
                <w:rtl/>
                <w:lang w:bidi="he-IL"/>
              </w:rPr>
              <w:footnoteReference w:id="20"/>
            </w:r>
            <w:r w:rsidRPr="00157399">
              <w:rPr>
                <w:rFonts w:cstheme="minorHAnsi"/>
                <w:rtl/>
                <w:lang w:bidi="he-IL"/>
              </w:rPr>
              <w:t xml:space="preserve"> במקומות שונים בעולם ואימוצם (בשלב ראשון, כרגולציה עצמית) על-ידי גופים שונים,</w:t>
            </w:r>
            <w:r w:rsidRPr="00157399">
              <w:rPr>
                <w:rStyle w:val="FootnoteReference"/>
                <w:rFonts w:cstheme="minorHAnsi"/>
                <w:rtl/>
                <w:lang w:bidi="he-IL"/>
              </w:rPr>
              <w:footnoteReference w:id="21"/>
            </w:r>
            <w:r w:rsidRPr="00157399">
              <w:rPr>
                <w:rFonts w:cstheme="minorHAnsi"/>
                <w:rtl/>
                <w:lang w:bidi="he-IL"/>
              </w:rPr>
              <w:t xml:space="preserve"> נכון יהיה לעגן עקרונות אלו בתקנות האמורות כבר עתה, כרגולציה צופה פני העתיד.  </w:t>
            </w:r>
          </w:p>
        </w:tc>
      </w:tr>
      <w:tr w:rsidR="003E40A5" w:rsidRPr="00157399" w14:paraId="44C73CD1" w14:textId="77777777" w:rsidTr="0099290B">
        <w:tc>
          <w:tcPr>
            <w:tcW w:w="1198" w:type="dxa"/>
          </w:tcPr>
          <w:p w14:paraId="4F363F08" w14:textId="77777777" w:rsidR="003E40A5" w:rsidRPr="00157399" w:rsidRDefault="003E40A5" w:rsidP="0099290B">
            <w:pPr>
              <w:bidi/>
              <w:spacing w:before="240" w:after="240" w:line="320" w:lineRule="exact"/>
              <w:jc w:val="both"/>
              <w:rPr>
                <w:rFonts w:cstheme="minorHAnsi"/>
                <w:b/>
                <w:bCs/>
                <w:rtl/>
                <w:lang w:bidi="he-IL"/>
              </w:rPr>
            </w:pPr>
            <w:r w:rsidRPr="00157399">
              <w:rPr>
                <w:rFonts w:cstheme="minorHAnsi"/>
                <w:b/>
                <w:bCs/>
                <w:rtl/>
                <w:lang w:bidi="he-IL"/>
              </w:rPr>
              <w:t>2</w:t>
            </w:r>
          </w:p>
        </w:tc>
        <w:tc>
          <w:tcPr>
            <w:tcW w:w="8505" w:type="dxa"/>
          </w:tcPr>
          <w:p w14:paraId="6F1CF3F0" w14:textId="77777777" w:rsidR="003E40A5" w:rsidRPr="00157399" w:rsidRDefault="003E40A5" w:rsidP="0099290B">
            <w:pPr>
              <w:bidi/>
              <w:spacing w:before="240" w:after="240" w:line="320" w:lineRule="exact"/>
              <w:jc w:val="both"/>
              <w:rPr>
                <w:rFonts w:cstheme="minorHAnsi"/>
                <w:lang w:bidi="he-IL"/>
              </w:rPr>
            </w:pPr>
            <w:r w:rsidRPr="00157399">
              <w:rPr>
                <w:rFonts w:cstheme="minorHAnsi"/>
                <w:rtl/>
                <w:lang w:bidi="he-IL"/>
              </w:rPr>
              <w:t xml:space="preserve">עקרון חשוב הנפקד מסעיף העקרונות לשימוש במידע בריאות והנובע מערך הצדק, הוא זה של שיתוף הציבור בהטבה/תועלת </w:t>
            </w:r>
            <w:r w:rsidRPr="00157399">
              <w:rPr>
                <w:rFonts w:cstheme="minorHAnsi"/>
                <w:lang w:bidi="he-IL"/>
              </w:rPr>
              <w:t>(benefit sharing)</w:t>
            </w:r>
            <w:r w:rsidRPr="00157399">
              <w:rPr>
                <w:rFonts w:cstheme="minorHAnsi"/>
                <w:rtl/>
                <w:lang w:bidi="he-IL"/>
              </w:rPr>
              <w:t xml:space="preserve"> הצומחת משימוש בנתוני בריאות שמקורם בציבור עצמו (לאחר שנאספו אודותיו במסגרת השימוש הראשוני). יישומו של עקרון זה מבטיח מקסום של הרווחה החברתית הפוטנציאלית מניתוח ועיבוד נתוני עתק בתחום הבריאות. יש מקום לחייב מבחינה עקרונית את מבקשי השימוש בנתונים, לשתף את הציבור בישראל, במישרין או בעקיפין, בפירות המחקר, פירות הפיתוחים המחקריים ובשיפורים בשירותי הבריאות, אשר התאפשרו באמצעות השימוש בנתונים שמקורם בו. </w:t>
            </w:r>
          </w:p>
        </w:tc>
      </w:tr>
      <w:tr w:rsidR="003E40A5" w:rsidRPr="00157399" w14:paraId="44785949" w14:textId="77777777" w:rsidTr="0099290B">
        <w:tc>
          <w:tcPr>
            <w:tcW w:w="1198" w:type="dxa"/>
          </w:tcPr>
          <w:p w14:paraId="2A74F6DE" w14:textId="77777777" w:rsidR="003E40A5" w:rsidRPr="00157399" w:rsidRDefault="003E40A5" w:rsidP="0099290B">
            <w:pPr>
              <w:bidi/>
              <w:spacing w:before="240" w:after="240" w:line="320" w:lineRule="exact"/>
              <w:jc w:val="both"/>
              <w:rPr>
                <w:rFonts w:cstheme="minorHAnsi"/>
                <w:b/>
                <w:bCs/>
                <w:rtl/>
                <w:lang w:bidi="he-IL"/>
              </w:rPr>
            </w:pPr>
            <w:r w:rsidRPr="00157399">
              <w:rPr>
                <w:rFonts w:cstheme="minorHAnsi"/>
                <w:b/>
                <w:bCs/>
                <w:rtl/>
                <w:lang w:bidi="he-IL"/>
              </w:rPr>
              <w:t>2(ו)</w:t>
            </w:r>
          </w:p>
        </w:tc>
        <w:tc>
          <w:tcPr>
            <w:tcW w:w="8505" w:type="dxa"/>
          </w:tcPr>
          <w:p w14:paraId="642F6D6D" w14:textId="77777777" w:rsidR="003E40A5" w:rsidRPr="00157399" w:rsidRDefault="003E40A5" w:rsidP="0099290B">
            <w:pPr>
              <w:autoSpaceDE w:val="0"/>
              <w:autoSpaceDN w:val="0"/>
              <w:bidi/>
              <w:adjustRightInd w:val="0"/>
              <w:rPr>
                <w:rFonts w:cstheme="minorHAnsi"/>
                <w:rtl/>
                <w:lang w:bidi="he-IL"/>
              </w:rPr>
            </w:pPr>
            <w:r w:rsidRPr="00157399">
              <w:rPr>
                <w:rFonts w:cstheme="minorHAnsi"/>
                <w:rtl/>
                <w:lang w:bidi="he-IL"/>
              </w:rPr>
              <w:t>"</w:t>
            </w:r>
            <w:r w:rsidRPr="00157399">
              <w:rPr>
                <w:rFonts w:cstheme="minorHAnsi"/>
                <w:b/>
                <w:bCs/>
                <w:rtl/>
                <w:lang w:bidi="he-IL"/>
              </w:rPr>
              <w:t>ניתן לעשות שימוש במידע בריאות מזוהה או ניתן לזיהוי, למטרות מחקר, בהסכמה מדעת מראש, של האדם שעליו המידע, או אם השימוש כאמור פטור מהסכמה לפי הוראות כל דין או אם המידע באופן מובהק אינו ניתן לזיהוי</w:t>
            </w:r>
            <w:r w:rsidRPr="00157399">
              <w:rPr>
                <w:rFonts w:cstheme="minorHAnsi"/>
                <w:rtl/>
                <w:lang w:bidi="he-IL"/>
              </w:rPr>
              <w:t xml:space="preserve">." – הסיפא של תקנת משנה זו יוצר חוסר בהירות על-ידי כך שמכיל התניות מעגליות לגבי שימוש במידע בדרגות זיהוי שונות ("מזוהה", "ניתן לזיהוי", "באופן מובהק אינו ניתן לזיהוי") והסכמה מדעת (או פטור ממנה). עמדתנו היא, שלנוכח העובדה שלא כל המונחים הללו מוגדרים בתקנות, הניסוח הנוכחי יקשה, הן על מבקשי השימוש בנתונים והן על ועדות לשימוש מחקרי במידע ויגרום </w:t>
            </w:r>
            <w:r>
              <w:rPr>
                <w:rFonts w:cstheme="minorHAnsi" w:hint="cs"/>
                <w:rtl/>
                <w:lang w:bidi="he-IL"/>
              </w:rPr>
              <w:t>לחילוקי דעות</w:t>
            </w:r>
            <w:r w:rsidRPr="00157399">
              <w:rPr>
                <w:rFonts w:cstheme="minorHAnsi"/>
                <w:rtl/>
                <w:lang w:bidi="he-IL"/>
              </w:rPr>
              <w:t xml:space="preserve"> פרשני</w:t>
            </w:r>
            <w:r>
              <w:rPr>
                <w:rFonts w:cstheme="minorHAnsi" w:hint="cs"/>
                <w:rtl/>
                <w:lang w:bidi="he-IL"/>
              </w:rPr>
              <w:t>ים</w:t>
            </w:r>
            <w:r w:rsidRPr="00157399">
              <w:rPr>
                <w:rFonts w:cstheme="minorHAnsi"/>
                <w:rtl/>
                <w:lang w:bidi="he-IL"/>
              </w:rPr>
              <w:t xml:space="preserve">. </w:t>
            </w:r>
          </w:p>
          <w:p w14:paraId="0A85D315" w14:textId="77777777" w:rsidR="003E40A5" w:rsidRDefault="003E40A5" w:rsidP="0099290B">
            <w:pPr>
              <w:bidi/>
              <w:spacing w:before="240" w:after="240" w:line="320" w:lineRule="exact"/>
              <w:jc w:val="both"/>
              <w:rPr>
                <w:rFonts w:cstheme="minorHAnsi"/>
                <w:rtl/>
                <w:lang w:bidi="he-IL"/>
              </w:rPr>
            </w:pPr>
            <w:r w:rsidRPr="00157399">
              <w:rPr>
                <w:rFonts w:cstheme="minorHAnsi"/>
                <w:rtl/>
                <w:lang w:bidi="he-IL"/>
              </w:rPr>
              <w:t>מומלץ לייצר מדרג התממה ברור, מובחן ועקבי אשר ישרת הן, את מבקשי המידע והן את הוועדות (הארגונית והלאומית) לשימוש מחקרי במידע.</w:t>
            </w:r>
            <w:r>
              <w:rPr>
                <w:rFonts w:cstheme="minorHAnsi" w:hint="cs"/>
                <w:rtl/>
                <w:lang w:bidi="he-IL"/>
              </w:rPr>
              <w:t xml:space="preserve"> </w:t>
            </w:r>
          </w:p>
          <w:p w14:paraId="4AFF6FFF" w14:textId="77777777" w:rsidR="003E40A5" w:rsidRPr="00A8411C" w:rsidRDefault="003A2FFE" w:rsidP="0099290B">
            <w:pPr>
              <w:bidi/>
              <w:spacing w:before="240" w:after="240" w:line="320" w:lineRule="exact"/>
              <w:jc w:val="both"/>
              <w:rPr>
                <w:rFonts w:cstheme="minorHAnsi"/>
                <w:rtl/>
                <w:lang w:bidi="he-IL"/>
              </w:rPr>
            </w:pPr>
            <w:r>
              <w:rPr>
                <w:rFonts w:cstheme="minorHAnsi" w:hint="cs"/>
                <w:rtl/>
                <w:lang w:bidi="he-IL"/>
              </w:rPr>
              <w:t>זאת ועוד,</w:t>
            </w:r>
            <w:r w:rsidR="003E40A5">
              <w:rPr>
                <w:rFonts w:cstheme="minorHAnsi" w:hint="cs"/>
                <w:rtl/>
                <w:lang w:bidi="he-IL"/>
              </w:rPr>
              <w:t xml:space="preserve"> ״התממה״ כ</w:t>
            </w:r>
            <w:r>
              <w:rPr>
                <w:rFonts w:cstheme="minorHAnsi" w:hint="cs"/>
                <w:rtl/>
                <w:lang w:bidi="he-IL"/>
              </w:rPr>
              <w:t xml:space="preserve">פי </w:t>
            </w:r>
            <w:r w:rsidR="003E40A5">
              <w:rPr>
                <w:rFonts w:cstheme="minorHAnsi" w:hint="cs"/>
                <w:rtl/>
                <w:lang w:bidi="he-IL"/>
              </w:rPr>
              <w:t xml:space="preserve">הגדרתה בסעיף 1 </w:t>
            </w:r>
            <w:r>
              <w:rPr>
                <w:rFonts w:cstheme="minorHAnsi" w:hint="cs"/>
                <w:rtl/>
                <w:lang w:bidi="he-IL"/>
              </w:rPr>
              <w:t xml:space="preserve">לתקנות, אשר </w:t>
            </w:r>
            <w:r w:rsidR="003E40A5">
              <w:rPr>
                <w:rFonts w:cstheme="minorHAnsi" w:hint="cs"/>
                <w:rtl/>
                <w:lang w:bidi="he-IL"/>
              </w:rPr>
              <w:t>הינה ״תהליך להפחתת הסיכון לזיהוי נושא המידע מתוך מידע בריאות שעליו הוחלט לאור תקנה 13</w:t>
            </w:r>
            <w:r w:rsidR="00F32A6E">
              <w:rPr>
                <w:rFonts w:cstheme="minorHAnsi" w:hint="cs"/>
                <w:rtl/>
                <w:lang w:bidi="he-IL"/>
              </w:rPr>
              <w:t>.</w:t>
            </w:r>
            <w:r w:rsidR="003E40A5">
              <w:rPr>
                <w:rFonts w:cstheme="minorHAnsi" w:hint="cs"/>
                <w:rtl/>
                <w:lang w:bidi="he-IL"/>
              </w:rPr>
              <w:t xml:space="preserve">״ </w:t>
            </w:r>
            <w:r>
              <w:rPr>
                <w:rFonts w:cstheme="minorHAnsi" w:hint="cs"/>
                <w:rtl/>
                <w:lang w:bidi="he-IL"/>
              </w:rPr>
              <w:t xml:space="preserve">יכולה לכלול מגוון </w:t>
            </w:r>
            <w:r w:rsidR="003E40A5">
              <w:rPr>
                <w:rFonts w:cstheme="minorHAnsi" w:hint="cs"/>
                <w:rtl/>
                <w:lang w:bidi="he-IL"/>
              </w:rPr>
              <w:t>אמצעים טכנולוגיים הקיימים כע</w:t>
            </w:r>
            <w:r>
              <w:rPr>
                <w:rFonts w:cstheme="minorHAnsi" w:hint="cs"/>
                <w:rtl/>
                <w:lang w:bidi="he-IL"/>
              </w:rPr>
              <w:t>ת,</w:t>
            </w:r>
            <w:r w:rsidR="003E40A5">
              <w:rPr>
                <w:rFonts w:cstheme="minorHAnsi" w:hint="cs"/>
                <w:rtl/>
                <w:lang w:bidi="he-IL"/>
              </w:rPr>
              <w:t xml:space="preserve"> </w:t>
            </w:r>
            <w:r>
              <w:rPr>
                <w:rFonts w:cstheme="minorHAnsi" w:hint="cs"/>
                <w:rtl/>
                <w:lang w:bidi="he-IL"/>
              </w:rPr>
              <w:t>ובהם</w:t>
            </w:r>
            <w:r w:rsidR="003E40A5">
              <w:rPr>
                <w:rFonts w:cstheme="minorHAnsi" w:hint="cs"/>
                <w:rtl/>
                <w:lang w:bidi="he-IL"/>
              </w:rPr>
              <w:t xml:space="preserve"> גם פיתוחים חדשים אשר לא היו קיימים אך לפני 3 שנים, ואין לדעת אילו פתרונות יוצעו בעתיד. נכון להיום ניתן להשתמש באחד או כמה מהמפורטים להלן:</w:t>
            </w:r>
            <w:r w:rsidR="003E40A5">
              <w:rPr>
                <w:rFonts w:cstheme="minorHAnsi"/>
                <w:lang w:bidi="he-IL"/>
              </w:rPr>
              <w:t>Syntetic Data, Differential Privacy, Homo Morphic Encryption</w:t>
            </w:r>
            <w:r>
              <w:rPr>
                <w:rFonts w:cstheme="minorHAnsi"/>
                <w:lang w:bidi="he-IL"/>
              </w:rPr>
              <w:t xml:space="preserve"> (HME)</w:t>
            </w:r>
            <w:r w:rsidR="003E40A5">
              <w:rPr>
                <w:rFonts w:cstheme="minorHAnsi"/>
                <w:lang w:bidi="he-IL"/>
              </w:rPr>
              <w:t>, Multi Party Computation</w:t>
            </w:r>
            <w:r>
              <w:rPr>
                <w:rFonts w:cstheme="minorHAnsi"/>
                <w:lang w:bidi="he-IL"/>
              </w:rPr>
              <w:t xml:space="preserve"> (MPC)</w:t>
            </w:r>
            <w:r w:rsidR="003E40A5">
              <w:rPr>
                <w:rFonts w:cstheme="minorHAnsi"/>
                <w:lang w:bidi="he-IL"/>
              </w:rPr>
              <w:t xml:space="preserve">, Pseudonymisation, </w:t>
            </w:r>
            <w:r w:rsidR="003E40A5">
              <w:rPr>
                <w:rFonts w:cstheme="minorHAnsi" w:hint="cs"/>
                <w:rtl/>
                <w:lang w:bidi="he-IL"/>
              </w:rPr>
              <w:t xml:space="preserve"> ועוד. מידת האפקטיביות של כל אחד מאלו, ה״עלות״ של השימוש בהם על שימושיות המידע והיכולת ליישמם בסביבת מחשוב בשליטת ארגון הבריאות הן שאלות ליבה ביישום ההסדר</w:t>
            </w:r>
            <w:r>
              <w:rPr>
                <w:rFonts w:cstheme="minorHAnsi" w:hint="cs"/>
                <w:rtl/>
                <w:lang w:bidi="he-IL"/>
              </w:rPr>
              <w:t>,</w:t>
            </w:r>
            <w:r w:rsidR="003E40A5">
              <w:rPr>
                <w:rFonts w:cstheme="minorHAnsi" w:hint="cs"/>
                <w:rtl/>
                <w:lang w:bidi="he-IL"/>
              </w:rPr>
              <w:t xml:space="preserve"> אשר מומלץ לחקרן ולהבינן לעומק</w:t>
            </w:r>
            <w:r>
              <w:rPr>
                <w:rFonts w:cstheme="minorHAnsi" w:hint="cs"/>
                <w:rtl/>
                <w:lang w:bidi="he-IL"/>
              </w:rPr>
              <w:t>, על מנת שניתן יהיה לקבל החלטות מושכלות בבקשות אישור מחקרים</w:t>
            </w:r>
            <w:r w:rsidR="003E40A5">
              <w:rPr>
                <w:rFonts w:cstheme="minorHAnsi" w:hint="cs"/>
                <w:rtl/>
                <w:lang w:bidi="he-IL"/>
              </w:rPr>
              <w:t>.</w:t>
            </w:r>
            <w:r>
              <w:rPr>
                <w:rFonts w:cstheme="minorHAnsi" w:hint="cs"/>
                <w:rtl/>
                <w:lang w:bidi="he-IL"/>
              </w:rPr>
              <w:t xml:space="preserve"> למשל, חלק מהאמצעים (למשל </w:t>
            </w:r>
            <w:r>
              <w:rPr>
                <w:rFonts w:cstheme="minorHAnsi"/>
                <w:lang w:bidi="he-IL"/>
              </w:rPr>
              <w:t>MPC</w:t>
            </w:r>
            <w:r>
              <w:rPr>
                <w:rFonts w:cstheme="minorHAnsi" w:hint="cs"/>
                <w:rtl/>
                <w:lang w:bidi="he-IL"/>
              </w:rPr>
              <w:t xml:space="preserve"> ו- </w:t>
            </w:r>
            <w:r>
              <w:rPr>
                <w:rFonts w:cstheme="minorHAnsi"/>
                <w:lang w:bidi="he-IL"/>
              </w:rPr>
              <w:t>HME</w:t>
            </w:r>
            <w:r>
              <w:rPr>
                <w:rFonts w:cstheme="minorHAnsi" w:hint="cs"/>
                <w:rtl/>
                <w:lang w:bidi="he-IL"/>
              </w:rPr>
              <w:t>) מציעים אפשרות ניתוח מידע באופן מבוזר או מוצפן ועשויים להיות כלים ששימוש בהם גם מחוץ לשליטת ארגון הבריאות אינו פוגם ברמת ההגנה על המידע.</w:t>
            </w:r>
          </w:p>
        </w:tc>
      </w:tr>
      <w:tr w:rsidR="003E40A5" w:rsidRPr="00157399" w14:paraId="2F41E168" w14:textId="77777777" w:rsidTr="0099290B">
        <w:tc>
          <w:tcPr>
            <w:tcW w:w="1198" w:type="dxa"/>
          </w:tcPr>
          <w:p w14:paraId="58062294" w14:textId="77777777" w:rsidR="003E40A5" w:rsidRPr="00157399" w:rsidRDefault="003E40A5" w:rsidP="0099290B">
            <w:pPr>
              <w:bidi/>
              <w:spacing w:before="240" w:after="240" w:line="320" w:lineRule="exact"/>
              <w:jc w:val="both"/>
              <w:rPr>
                <w:rFonts w:cstheme="minorHAnsi"/>
                <w:b/>
                <w:bCs/>
                <w:rtl/>
                <w:lang w:bidi="he-IL"/>
              </w:rPr>
            </w:pPr>
            <w:r w:rsidRPr="00157399">
              <w:rPr>
                <w:rFonts w:cstheme="minorHAnsi"/>
                <w:b/>
                <w:bCs/>
                <w:rtl/>
                <w:lang w:bidi="he-IL"/>
              </w:rPr>
              <w:t>2(ז)</w:t>
            </w:r>
          </w:p>
        </w:tc>
        <w:tc>
          <w:tcPr>
            <w:tcW w:w="8505" w:type="dxa"/>
          </w:tcPr>
          <w:p w14:paraId="7E697887" w14:textId="77777777" w:rsidR="003E40A5" w:rsidRPr="00157399" w:rsidRDefault="003E40A5" w:rsidP="0099290B">
            <w:pPr>
              <w:bidi/>
              <w:spacing w:before="240" w:after="240" w:line="320" w:lineRule="exact"/>
              <w:jc w:val="both"/>
              <w:rPr>
                <w:rFonts w:cstheme="minorHAnsi"/>
                <w:rtl/>
                <w:lang w:bidi="he-IL"/>
              </w:rPr>
            </w:pPr>
            <w:r w:rsidRPr="00157399">
              <w:rPr>
                <w:rFonts w:cstheme="minorHAnsi"/>
                <w:rtl/>
                <w:lang w:bidi="he-IL"/>
              </w:rPr>
              <w:t>"</w:t>
            </w:r>
            <w:r w:rsidRPr="00157399">
              <w:rPr>
                <w:rFonts w:cstheme="minorHAnsi"/>
                <w:b/>
                <w:bCs/>
                <w:rtl/>
                <w:lang w:bidi="he-IL"/>
              </w:rPr>
              <w:t>שימוש [...] יאושר רק למטרה מסוימת</w:t>
            </w:r>
            <w:r w:rsidRPr="00157399">
              <w:rPr>
                <w:rFonts w:cstheme="minorHAnsi"/>
                <w:rtl/>
                <w:lang w:bidi="he-IL"/>
              </w:rPr>
              <w:t xml:space="preserve">" – </w:t>
            </w:r>
            <w:r w:rsidR="00DF417A">
              <w:rPr>
                <w:rFonts w:cstheme="minorHAnsi" w:hint="cs"/>
                <w:rtl/>
                <w:lang w:bidi="he-IL"/>
              </w:rPr>
              <w:t>נציין,</w:t>
            </w:r>
            <w:r w:rsidRPr="00157399">
              <w:rPr>
                <w:rFonts w:cstheme="minorHAnsi"/>
                <w:rtl/>
                <w:lang w:bidi="he-IL"/>
              </w:rPr>
              <w:t xml:space="preserve"> כי צמצום האפשרויות ומטרות המחקר </w:t>
            </w:r>
            <w:r w:rsidR="00DF417A">
              <w:rPr>
                <w:rFonts w:cstheme="minorHAnsi" w:hint="cs"/>
                <w:rtl/>
                <w:lang w:bidi="he-IL"/>
              </w:rPr>
              <w:t xml:space="preserve">באופן דווקני </w:t>
            </w:r>
            <w:r w:rsidRPr="00157399">
              <w:rPr>
                <w:rFonts w:cstheme="minorHAnsi"/>
                <w:rtl/>
                <w:lang w:bidi="he-IL"/>
              </w:rPr>
              <w:t xml:space="preserve">עלול להגביל את התועלות הצפויות ממנו, עבור בריאות הציבור. </w:t>
            </w:r>
            <w:r w:rsidR="00F42D83">
              <w:rPr>
                <w:rFonts w:cstheme="minorHAnsi" w:hint="cs"/>
                <w:rtl/>
                <w:lang w:bidi="he-IL"/>
              </w:rPr>
              <w:t>רגולציית</w:t>
            </w:r>
            <w:r w:rsidRPr="00157399">
              <w:rPr>
                <w:rFonts w:cstheme="minorHAnsi"/>
                <w:rtl/>
                <w:lang w:bidi="he-IL"/>
              </w:rPr>
              <w:t xml:space="preserve"> הגנת המידע </w:t>
            </w:r>
            <w:r w:rsidR="00F42D83">
              <w:rPr>
                <w:rFonts w:cstheme="minorHAnsi" w:hint="cs"/>
                <w:rtl/>
                <w:lang w:bidi="he-IL"/>
              </w:rPr>
              <w:t>האירופית (</w:t>
            </w:r>
            <w:r w:rsidR="00F42D83">
              <w:rPr>
                <w:rFonts w:cstheme="minorHAnsi"/>
                <w:lang w:bidi="he-IL"/>
              </w:rPr>
              <w:t>GDPR</w:t>
            </w:r>
            <w:r w:rsidR="00F42D83">
              <w:rPr>
                <w:rFonts w:cstheme="minorHAnsi" w:hint="cs"/>
                <w:rtl/>
                <w:lang w:bidi="he-IL"/>
              </w:rPr>
              <w:t>)</w:t>
            </w:r>
            <w:r w:rsidRPr="00157399">
              <w:rPr>
                <w:rFonts w:cstheme="minorHAnsi"/>
                <w:rtl/>
                <w:lang w:bidi="he-IL"/>
              </w:rPr>
              <w:t xml:space="preserve"> הכיר</w:t>
            </w:r>
            <w:r w:rsidR="00F42D83">
              <w:rPr>
                <w:rFonts w:cstheme="minorHAnsi" w:hint="cs"/>
                <w:rtl/>
                <w:lang w:bidi="he-IL"/>
              </w:rPr>
              <w:t>ה</w:t>
            </w:r>
            <w:r w:rsidRPr="00157399">
              <w:rPr>
                <w:rFonts w:cstheme="minorHAnsi"/>
                <w:rtl/>
                <w:lang w:bidi="he-IL"/>
              </w:rPr>
              <w:t xml:space="preserve"> באתגר לבסס את מטרת המחקר המדויקת טרם תחילת ביצוע המחקר</w:t>
            </w:r>
            <w:r w:rsidRPr="00157399">
              <w:rPr>
                <w:rStyle w:val="FootnoteReference"/>
                <w:rFonts w:cstheme="minorHAnsi"/>
                <w:rtl/>
                <w:lang w:bidi="he-IL"/>
              </w:rPr>
              <w:footnoteReference w:id="22"/>
            </w:r>
            <w:r w:rsidRPr="00157399">
              <w:rPr>
                <w:rFonts w:cstheme="minorHAnsi"/>
                <w:rtl/>
                <w:lang w:bidi="he-IL"/>
              </w:rPr>
              <w:t xml:space="preserve"> ולכן אפשרו במקרים בהם מתבקשת הסכמת נושא המידע</w:t>
            </w:r>
            <w:r w:rsidR="00F42D83">
              <w:rPr>
                <w:rFonts w:cstheme="minorHAnsi" w:hint="cs"/>
                <w:rtl/>
                <w:lang w:bidi="he-IL"/>
              </w:rPr>
              <w:t>,</w:t>
            </w:r>
            <w:r w:rsidRPr="00157399">
              <w:rPr>
                <w:rFonts w:cstheme="minorHAnsi"/>
                <w:rtl/>
                <w:lang w:bidi="he-IL"/>
              </w:rPr>
              <w:t xml:space="preserve"> להגדיר את מטרות המחקר באופן רחב</w:t>
            </w:r>
            <w:r w:rsidR="00F32A6E">
              <w:rPr>
                <w:rFonts w:cstheme="minorHAnsi" w:hint="cs"/>
                <w:rtl/>
                <w:lang w:bidi="he-IL"/>
              </w:rPr>
              <w:t>,</w:t>
            </w:r>
            <w:r w:rsidRPr="00157399">
              <w:rPr>
                <w:rFonts w:cstheme="minorHAnsi"/>
                <w:rtl/>
                <w:lang w:bidi="he-IL"/>
              </w:rPr>
              <w:t xml:space="preserve"> כך שההסכמה שיתן המטופל לא תצמצם את תחומי המחקר בהם ניתן יהיה לעסוק.</w:t>
            </w:r>
            <w:r w:rsidR="00F42D83">
              <w:rPr>
                <w:rFonts w:cstheme="minorHAnsi" w:hint="cs"/>
                <w:rtl/>
                <w:lang w:bidi="he-IL"/>
              </w:rPr>
              <w:t xml:space="preserve"> ניתן ללמוד מכך גם לגבי טווח הסבירות בהחלטת ועדה ארגונית. </w:t>
            </w:r>
          </w:p>
        </w:tc>
      </w:tr>
      <w:tr w:rsidR="003E40A5" w:rsidRPr="00157399" w14:paraId="2FC3CA28" w14:textId="77777777" w:rsidTr="0099290B">
        <w:tc>
          <w:tcPr>
            <w:tcW w:w="1198" w:type="dxa"/>
          </w:tcPr>
          <w:p w14:paraId="0D71311F" w14:textId="77777777" w:rsidR="003E40A5" w:rsidRPr="00157399" w:rsidRDefault="003E40A5" w:rsidP="0099290B">
            <w:pPr>
              <w:bidi/>
              <w:spacing w:before="240" w:after="240" w:line="320" w:lineRule="exact"/>
              <w:jc w:val="both"/>
              <w:rPr>
                <w:rFonts w:cstheme="minorHAnsi"/>
                <w:b/>
                <w:bCs/>
                <w:rtl/>
                <w:lang w:bidi="he-IL"/>
              </w:rPr>
            </w:pPr>
            <w:r w:rsidRPr="00157399">
              <w:rPr>
                <w:rFonts w:cstheme="minorHAnsi"/>
                <w:b/>
                <w:bCs/>
                <w:rtl/>
                <w:lang w:bidi="he-IL"/>
              </w:rPr>
              <w:t>2(ח)</w:t>
            </w:r>
          </w:p>
        </w:tc>
        <w:tc>
          <w:tcPr>
            <w:tcW w:w="8505" w:type="dxa"/>
          </w:tcPr>
          <w:p w14:paraId="4A7619AC" w14:textId="77777777" w:rsidR="003E40A5" w:rsidRPr="00157399" w:rsidRDefault="003E40A5" w:rsidP="0099290B">
            <w:pPr>
              <w:bidi/>
              <w:spacing w:before="240" w:after="240" w:line="320" w:lineRule="exact"/>
              <w:jc w:val="both"/>
              <w:rPr>
                <w:rFonts w:cstheme="minorHAnsi"/>
                <w:rtl/>
                <w:lang w:bidi="he-IL"/>
              </w:rPr>
            </w:pPr>
            <w:r w:rsidRPr="00157399">
              <w:rPr>
                <w:rFonts w:cstheme="minorHAnsi"/>
                <w:rtl/>
                <w:lang w:bidi="he-IL"/>
              </w:rPr>
              <w:t>"</w:t>
            </w:r>
            <w:r w:rsidRPr="00D30017">
              <w:rPr>
                <w:rFonts w:cstheme="minorHAnsi"/>
                <w:b/>
                <w:bCs/>
                <w:rtl/>
                <w:lang w:bidi="he-IL"/>
              </w:rPr>
              <w:t>ל</w:t>
            </w:r>
            <w:r w:rsidRPr="00157399">
              <w:rPr>
                <w:rFonts w:cstheme="minorHAnsi"/>
                <w:b/>
                <w:bCs/>
                <w:rtl/>
                <w:lang w:bidi="he-IL"/>
              </w:rPr>
              <w:t>א יעבירו או ייתן גישה אליו לכל גורם אחר</w:t>
            </w:r>
            <w:r w:rsidRPr="00157399">
              <w:rPr>
                <w:rFonts w:cstheme="minorHAnsi"/>
                <w:rtl/>
                <w:lang w:bidi="he-IL"/>
              </w:rPr>
              <w:t xml:space="preserve">" – הסעיף אינו לוקח בחשבון את העובדה כי ארגונים רבים נעזרים בספקי שירות כדוגמת מחשוב ענן כדי להפעיל את מערכות המידע שלהם. זאת, בשל שני יתרונות משמעותיים: תשתית הענן מציעה אחסון מידע ועיבודו ביעילות רבה יותר וכח מחשוב חזק יותר מאשר חברות רבות יכולות להשיג בתשתית פרטית, ותשתית זו מציעה תוכנות עיבוד וחישוב ושירותים שחברות לא בהכרח יוכלו להרשות לעצמן לרכוש. מאחר שהסעיף חוזר על נוסח המצוי בסעיף 3 לתקנות הגנת הפרטיות (העברת מידע אל מאגרי מידע שמחוץ לגבולות המדינה), תשס"א-2001, הוא למעשה מגביל חברות רבות ובמיוחד חברות הזנק ישראליות בעלות משאבים מוגבלים, בניצול היתרונות המשמעותיים שיש בהתקשרות עם ספקי תשתית ענן גדולים המאפשרים גישה ליכולות מתקדמות. חברות הזנק רבות בישראל נעזרות בספקי מחשוב ענן גלובליים. הגבלה זו, תדיר למעשה חברות הזנק מלהשתתף בפעילות המחקר מאחר שלא יהיו בידיהן המשאבים העצמיים לפיתוח. </w:t>
            </w:r>
            <w:r w:rsidR="00F42D83">
              <w:rPr>
                <w:rFonts w:cstheme="minorHAnsi" w:hint="cs"/>
                <w:rtl/>
                <w:lang w:bidi="he-IL"/>
              </w:rPr>
              <w:t>מומלץ להבהיר כי מגבלת הסעיף אין כוונתה להחריג שימוש בשירותי מחשוב ענן.</w:t>
            </w:r>
          </w:p>
        </w:tc>
      </w:tr>
      <w:tr w:rsidR="003E40A5" w:rsidRPr="00157399" w14:paraId="16F0B698" w14:textId="77777777" w:rsidTr="0099290B">
        <w:tc>
          <w:tcPr>
            <w:tcW w:w="1198" w:type="dxa"/>
          </w:tcPr>
          <w:p w14:paraId="052F1EE0" w14:textId="77777777" w:rsidR="003E40A5" w:rsidRPr="00157399" w:rsidRDefault="003E40A5" w:rsidP="0099290B">
            <w:pPr>
              <w:bidi/>
              <w:spacing w:before="240" w:after="240" w:line="320" w:lineRule="exact"/>
              <w:jc w:val="both"/>
              <w:rPr>
                <w:rFonts w:cstheme="minorHAnsi"/>
                <w:b/>
                <w:bCs/>
                <w:rtl/>
                <w:lang w:bidi="he-IL"/>
              </w:rPr>
            </w:pPr>
            <w:r w:rsidRPr="00157399" w:rsidDel="002C0597">
              <w:rPr>
                <w:rFonts w:cstheme="minorHAnsi"/>
                <w:b/>
                <w:bCs/>
                <w:rtl/>
                <w:lang w:bidi="he-IL"/>
              </w:rPr>
              <w:t xml:space="preserve"> </w:t>
            </w:r>
            <w:r w:rsidRPr="00157399">
              <w:rPr>
                <w:rFonts w:cstheme="minorHAnsi"/>
                <w:b/>
                <w:bCs/>
                <w:rtl/>
                <w:lang w:bidi="he-IL"/>
              </w:rPr>
              <w:t xml:space="preserve">3(א) </w:t>
            </w:r>
          </w:p>
        </w:tc>
        <w:tc>
          <w:tcPr>
            <w:tcW w:w="8505" w:type="dxa"/>
          </w:tcPr>
          <w:p w14:paraId="7BC02FA5" w14:textId="77777777" w:rsidR="003E40A5" w:rsidRPr="00157399" w:rsidRDefault="003E40A5" w:rsidP="0099290B">
            <w:pPr>
              <w:bidi/>
              <w:spacing w:before="240" w:after="240" w:line="320" w:lineRule="exact"/>
              <w:jc w:val="both"/>
              <w:rPr>
                <w:rFonts w:cstheme="minorHAnsi"/>
                <w:lang w:bidi="he-IL"/>
              </w:rPr>
            </w:pPr>
            <w:r w:rsidRPr="00157399">
              <w:rPr>
                <w:rFonts w:cstheme="minorHAnsi"/>
                <w:rtl/>
                <w:lang w:bidi="he-IL"/>
              </w:rPr>
              <w:t>"</w:t>
            </w:r>
            <w:r w:rsidRPr="00157399">
              <w:rPr>
                <w:rFonts w:cstheme="minorHAnsi"/>
                <w:b/>
                <w:bCs/>
                <w:rtl/>
                <w:lang w:bidi="he-IL"/>
              </w:rPr>
              <w:t>אדם זכאי בכל עת לבקש שלא ייעשה שימוש</w:t>
            </w:r>
            <w:r w:rsidRPr="00157399">
              <w:rPr>
                <w:rFonts w:cstheme="minorHAnsi"/>
                <w:b/>
                <w:bCs/>
                <w:lang w:bidi="he-IL"/>
              </w:rPr>
              <w:t xml:space="preserve"> </w:t>
            </w:r>
            <w:r w:rsidRPr="00157399">
              <w:rPr>
                <w:rFonts w:cstheme="minorHAnsi"/>
                <w:b/>
                <w:bCs/>
                <w:rtl/>
                <w:lang w:bidi="he-IL"/>
              </w:rPr>
              <w:t>[...]</w:t>
            </w:r>
            <w:r w:rsidRPr="00157399">
              <w:rPr>
                <w:rFonts w:cstheme="minorHAnsi"/>
                <w:rtl/>
                <w:lang w:bidi="he-IL"/>
              </w:rPr>
              <w:t xml:space="preserve">" – במידה שהמידע הותמם בהתאם לדרישת הוועדה והמחקר החל, לא ברור כיצד ניתן יהיה לקבל, בכל עת, בקשתו של נושא מידע שלא יעשה שימוש במידע אודותיו. לפי הגדרת המונח התממה, </w:t>
            </w:r>
            <w:r w:rsidR="009D6CCB">
              <w:rPr>
                <w:rFonts w:cstheme="minorHAnsi" w:hint="cs"/>
                <w:rtl/>
                <w:lang w:bidi="he-IL"/>
              </w:rPr>
              <w:t>יתכן ש</w:t>
            </w:r>
            <w:r w:rsidRPr="00157399">
              <w:rPr>
                <w:rFonts w:cstheme="minorHAnsi"/>
                <w:rtl/>
                <w:lang w:bidi="he-IL"/>
              </w:rPr>
              <w:t xml:space="preserve">החוקר אינו יכול </w:t>
            </w:r>
            <w:r w:rsidR="009D6CCB">
              <w:rPr>
                <w:rFonts w:cstheme="minorHAnsi" w:hint="cs"/>
                <w:rtl/>
                <w:lang w:bidi="he-IL"/>
              </w:rPr>
              <w:t xml:space="preserve">עוד </w:t>
            </w:r>
            <w:r w:rsidRPr="00157399">
              <w:rPr>
                <w:rFonts w:cstheme="minorHAnsi"/>
                <w:rtl/>
                <w:lang w:bidi="he-IL"/>
              </w:rPr>
              <w:t>לזהות את נושא המידע באמצעות המידע שברשותו. סעיף 89 ל</w:t>
            </w:r>
            <w:r w:rsidR="009D6CCB">
              <w:rPr>
                <w:rFonts w:cstheme="minorHAnsi" w:hint="cs"/>
                <w:rtl/>
                <w:lang w:bidi="he-IL"/>
              </w:rPr>
              <w:t>רגולציית</w:t>
            </w:r>
            <w:r w:rsidRPr="00157399">
              <w:rPr>
                <w:rFonts w:cstheme="minorHAnsi"/>
                <w:rtl/>
                <w:lang w:bidi="he-IL"/>
              </w:rPr>
              <w:t xml:space="preserve"> הגנת המידע באירופה (</w:t>
            </w:r>
            <w:r w:rsidRPr="00157399">
              <w:rPr>
                <w:rFonts w:cstheme="minorHAnsi"/>
                <w:lang w:bidi="he-IL"/>
              </w:rPr>
              <w:t>GDPR</w:t>
            </w:r>
            <w:r w:rsidRPr="00157399">
              <w:rPr>
                <w:rFonts w:cstheme="minorHAnsi"/>
                <w:rtl/>
                <w:lang w:bidi="he-IL"/>
              </w:rPr>
              <w:t>) מאפשר למדינות החברות לבטל בין היתר את הזכות להתנגד לעיבוד המידע כאשר העיבוד נעשה למטרות מחקר ('מטרות מחקר' מוגדרות באופן רחב בסעיף 159</w:t>
            </w:r>
            <w:r w:rsidRPr="00157399">
              <w:rPr>
                <w:rStyle w:val="FootnoteReference"/>
                <w:rFonts w:cstheme="minorHAnsi"/>
                <w:rtl/>
                <w:lang w:bidi="he-IL"/>
              </w:rPr>
              <w:footnoteReference w:id="23"/>
            </w:r>
            <w:r w:rsidRPr="00157399">
              <w:rPr>
                <w:rFonts w:cstheme="minorHAnsi"/>
                <w:rtl/>
                <w:lang w:bidi="he-IL"/>
              </w:rPr>
              <w:t xml:space="preserve"> לדברי ההסבר בתקנות האירופיות. כך, צורך מחקרי מוגדר ככולל גם מחקר לצורך פיתוח טכנולוגי ומחקר ממומן באופן פרטי, ולאו דווקא מחקר ציבורי). אנו מציעים לשנות את נוסח הסעיף כך שהזכות לבקש שלא יעשה שימוש במידע, תחול רק במידה שארגון הבריאות טרם שיתף את החוקר במידע, או לאחר מכן, רק במידה שהחוקר יכול לזהות את נושא המידע. בכל מקרה, במידה שהחוקר אינו יכול עוד לזהות את נושא המידע, לא נטיל עליו את החובה לבצע פעולות שיאפשרו זיהוי מחדש, גם אם נושא המידע ביקש זאת. </w:t>
            </w:r>
          </w:p>
        </w:tc>
      </w:tr>
      <w:tr w:rsidR="003E40A5" w:rsidRPr="00157399" w14:paraId="3677AC13" w14:textId="77777777" w:rsidTr="0099290B">
        <w:tc>
          <w:tcPr>
            <w:tcW w:w="1198" w:type="dxa"/>
          </w:tcPr>
          <w:p w14:paraId="2B999D31" w14:textId="77777777" w:rsidR="003E40A5" w:rsidRPr="00157399" w:rsidRDefault="003E40A5" w:rsidP="0099290B">
            <w:pPr>
              <w:bidi/>
              <w:spacing w:before="240" w:after="240" w:line="360" w:lineRule="auto"/>
              <w:jc w:val="both"/>
              <w:rPr>
                <w:rFonts w:cstheme="minorHAnsi"/>
                <w:b/>
                <w:bCs/>
                <w:rtl/>
                <w:lang w:bidi="he-IL"/>
              </w:rPr>
            </w:pPr>
            <w:r w:rsidRPr="00157399">
              <w:rPr>
                <w:rFonts w:cstheme="minorHAnsi"/>
                <w:b/>
                <w:bCs/>
                <w:rtl/>
                <w:lang w:bidi="he-IL"/>
              </w:rPr>
              <w:t>3(ג)</w:t>
            </w:r>
          </w:p>
        </w:tc>
        <w:tc>
          <w:tcPr>
            <w:tcW w:w="8505" w:type="dxa"/>
          </w:tcPr>
          <w:p w14:paraId="3F302E94" w14:textId="77777777" w:rsidR="003E40A5" w:rsidRPr="00157399" w:rsidRDefault="003E40A5" w:rsidP="0099290B">
            <w:pPr>
              <w:bidi/>
              <w:spacing w:before="240" w:after="240" w:line="320" w:lineRule="exact"/>
              <w:jc w:val="both"/>
              <w:rPr>
                <w:rFonts w:cstheme="minorHAnsi"/>
                <w:rtl/>
                <w:lang w:bidi="he-IL"/>
              </w:rPr>
            </w:pPr>
            <w:r w:rsidRPr="00157399">
              <w:rPr>
                <w:rFonts w:cstheme="minorHAnsi"/>
                <w:rtl/>
                <w:lang w:bidi="he-IL"/>
              </w:rPr>
              <w:t>"</w:t>
            </w:r>
            <w:r w:rsidRPr="00157399">
              <w:rPr>
                <w:rFonts w:cstheme="minorHAnsi"/>
                <w:b/>
                <w:bCs/>
                <w:rtl/>
                <w:lang w:bidi="he-IL"/>
              </w:rPr>
              <w:t>המנהל הכללי יפרסם לציבור מידע כיצד להגיש בקשת יציאה ובקשה לחזרה ממנה</w:t>
            </w:r>
            <w:r w:rsidRPr="00157399">
              <w:rPr>
                <w:rFonts w:cstheme="minorHAnsi"/>
                <w:rtl/>
                <w:lang w:bidi="he-IL"/>
              </w:rPr>
              <w:t>" – לטובת קיומו של הליך יעיל במסגרתו ייודע הציבור, לשם קידום ערכי השקיפות, ההוגנות ואוטונומיית הפרט, לגבי השימוש במידע בריאות שמקורו בו – נדרש שהפרסום יבוצע באופן מונגש לציבור (מבחינת מגוון המדיות והשפות בהן יבוצע). הפרסום נדרש להיות חלק מ"מהלך הסברתי לאומי נרחב להגברת המודעות לשימושים משניים הנעשים במידע בריאות"</w:t>
            </w:r>
            <w:r w:rsidRPr="00157399">
              <w:rPr>
                <w:rStyle w:val="FootnoteReference"/>
                <w:rFonts w:cstheme="minorHAnsi"/>
                <w:rtl/>
                <w:lang w:bidi="he-IL"/>
              </w:rPr>
              <w:footnoteReference w:id="24"/>
            </w:r>
            <w:r w:rsidRPr="00157399">
              <w:rPr>
                <w:rFonts w:cstheme="minorHAnsi"/>
                <w:rtl/>
                <w:lang w:bidi="he-IL"/>
              </w:rPr>
              <w:t xml:space="preserve"> באופן שיאפשר שיתוף מהותי של הציבור בקבלת החלטה מודעת ומושכלת לגבי השימוש במידע בריאות שמקורו בו. הגדרת הפרסום בסעיף זה הינה צרה, ומתייחסת אך לאופן הגשת </w:t>
            </w:r>
            <w:r w:rsidR="009D6CCB">
              <w:rPr>
                <w:rFonts w:cstheme="minorHAnsi" w:hint="cs"/>
                <w:rtl/>
                <w:lang w:bidi="he-IL"/>
              </w:rPr>
              <w:t xml:space="preserve">בקשת </w:t>
            </w:r>
            <w:r w:rsidRPr="00157399">
              <w:rPr>
                <w:rFonts w:cstheme="minorHAnsi"/>
                <w:rtl/>
                <w:lang w:bidi="he-IL"/>
              </w:rPr>
              <w:t>היציאה ובקשת החזרה ממנה. חשוב להחיל את ההתחייבות לפרסום גם על עצם השימוש המשני במידע הבריאות, תוך הדגשת הבטחת האנונימיות והבקרה והמטרות החשובות אותן בא השימוש לקדם.</w:t>
            </w:r>
            <w:r w:rsidR="009D6CCB">
              <w:rPr>
                <w:rFonts w:cstheme="minorHAnsi" w:hint="cs"/>
                <w:rtl/>
                <w:lang w:bidi="he-IL"/>
              </w:rPr>
              <w:t xml:space="preserve"> מהלך זה הוא חלק חשוב בביסוס אמון הציבור בהסדר.</w:t>
            </w:r>
          </w:p>
        </w:tc>
      </w:tr>
      <w:tr w:rsidR="003E40A5" w:rsidRPr="00157399" w14:paraId="79A4B82D" w14:textId="77777777" w:rsidTr="0099290B">
        <w:tc>
          <w:tcPr>
            <w:tcW w:w="1198" w:type="dxa"/>
          </w:tcPr>
          <w:p w14:paraId="2811133F" w14:textId="77777777" w:rsidR="003E40A5" w:rsidRPr="00157399" w:rsidRDefault="003E40A5" w:rsidP="0099290B">
            <w:pPr>
              <w:bidi/>
              <w:spacing w:before="240" w:after="240" w:line="360" w:lineRule="auto"/>
              <w:jc w:val="both"/>
              <w:rPr>
                <w:rFonts w:cstheme="minorHAnsi"/>
                <w:b/>
                <w:bCs/>
                <w:rtl/>
                <w:lang w:bidi="he-IL"/>
              </w:rPr>
            </w:pPr>
            <w:r w:rsidRPr="00157399">
              <w:rPr>
                <w:rFonts w:cstheme="minorHAnsi"/>
                <w:b/>
                <w:bCs/>
                <w:rtl/>
                <w:lang w:bidi="he-IL"/>
              </w:rPr>
              <w:t>4(ג)(2)</w:t>
            </w:r>
          </w:p>
        </w:tc>
        <w:tc>
          <w:tcPr>
            <w:tcW w:w="8505" w:type="dxa"/>
          </w:tcPr>
          <w:p w14:paraId="321C1029" w14:textId="77777777" w:rsidR="003E40A5" w:rsidRPr="00157399" w:rsidRDefault="003E40A5" w:rsidP="0099290B">
            <w:pPr>
              <w:bidi/>
              <w:spacing w:before="240" w:after="240" w:line="320" w:lineRule="exact"/>
              <w:jc w:val="both"/>
              <w:rPr>
                <w:rFonts w:cstheme="minorHAnsi"/>
                <w:rtl/>
                <w:lang w:bidi="he-IL"/>
              </w:rPr>
            </w:pPr>
            <w:r w:rsidRPr="00157399">
              <w:rPr>
                <w:rFonts w:cstheme="minorHAnsi"/>
                <w:rtl/>
                <w:lang w:bidi="he-IL"/>
              </w:rPr>
              <w:t>"</w:t>
            </w:r>
            <w:r w:rsidRPr="00157399">
              <w:rPr>
                <w:rFonts w:cstheme="minorHAnsi"/>
                <w:b/>
                <w:bCs/>
                <w:rtl/>
                <w:lang w:bidi="he-IL"/>
              </w:rPr>
              <w:t>דרישות הסף שהוא דורש לצורך מתן גישה על ידו למידע בריאות שברשותו למטרת שימוש מחקרי, ודרישות הסף למסירת מידע</w:t>
            </w:r>
            <w:r w:rsidRPr="00157399">
              <w:rPr>
                <w:rFonts w:cstheme="minorHAnsi"/>
                <w:rtl/>
                <w:lang w:bidi="he-IL"/>
              </w:rPr>
              <w:t>" –  ייתכן, ואף סביר להניח, שארגוני בריאות ידרשו תשלום עבור גישה לנתונים, או מסירתם לחוקרים. התקנות בנוסחן הנוכחי אינן מתייחסות במפורש לאפשרות זו. לנוכח חשיבותם המחקרית וערכם הכלכלי הרב של נתוני בריאות, על ארגון הבריאות להבטיח גם את קיום עקרון הגישה ההוגנת (</w:t>
            </w:r>
            <w:r w:rsidRPr="00157399">
              <w:rPr>
                <w:rFonts w:cstheme="minorHAnsi"/>
                <w:lang w:bidi="he-IL"/>
              </w:rPr>
              <w:t>fair access</w:t>
            </w:r>
            <w:r w:rsidRPr="00157399">
              <w:rPr>
                <w:rFonts w:cstheme="minorHAnsi"/>
                <w:rtl/>
                <w:lang w:bidi="he-IL"/>
              </w:rPr>
              <w:t>) לנתונים, עבור חוקרים שונים הנבדלים זה מזה ביכולת המימון שלהם. עקרון זה מקבל משנה חשיבות, לנוכח העובדה שמחקר בנתוני הבריאות צפוי להועיל לציבור ולנוכח היותם של ארגוני הבריאות נאמני מידע הבריאות, למעשה, המחזיקים בנתונים שנאספו מן הציבור במסגרת השימוש הראשוני. יתרה מזאת, הדרישה לאפשר גישה הוגנת</w:t>
            </w:r>
            <w:r w:rsidRPr="00157399">
              <w:rPr>
                <w:rFonts w:cstheme="minorHAnsi"/>
                <w:lang w:bidi="he-IL"/>
              </w:rPr>
              <w:t xml:space="preserve"> </w:t>
            </w:r>
            <w:r w:rsidRPr="00157399">
              <w:rPr>
                <w:rFonts w:cstheme="minorHAnsi"/>
                <w:rtl/>
                <w:lang w:bidi="he-IL"/>
              </w:rPr>
              <w:t>לנתוני הבריאות, באופן שאינו נותן העדפה למבקש אחד על פני אחר – מצדיקה החלת גישה דיפרנציאלית לשימוש בנתונים, כך שמבקשים  מעוטי-משאבים, כגון: חוקרים מן האקדמיה, ארגונים ללא מטרות רווח, או חברות הזנק בראשית דרכן, יידרשו לשלם תעריף נמוך יותר וסביר בגובהו עבור שימוש בנתונים, מאשר חוקרים בעלי-עניין בנתונים, שהינם בעלי יכולת מימון גבוהה.</w:t>
            </w:r>
          </w:p>
        </w:tc>
      </w:tr>
      <w:tr w:rsidR="003E40A5" w:rsidRPr="00157399" w14:paraId="4C24B81C" w14:textId="77777777" w:rsidTr="0099290B">
        <w:tc>
          <w:tcPr>
            <w:tcW w:w="1198" w:type="dxa"/>
          </w:tcPr>
          <w:p w14:paraId="3F3A9AE5" w14:textId="77777777" w:rsidR="003E40A5" w:rsidRPr="00157399" w:rsidRDefault="003E40A5" w:rsidP="0099290B">
            <w:pPr>
              <w:bidi/>
              <w:spacing w:before="240" w:after="240" w:line="360" w:lineRule="auto"/>
              <w:jc w:val="both"/>
              <w:rPr>
                <w:rFonts w:cstheme="minorHAnsi"/>
                <w:b/>
                <w:bCs/>
                <w:rtl/>
                <w:lang w:bidi="he-IL"/>
              </w:rPr>
            </w:pPr>
            <w:r>
              <w:rPr>
                <w:rFonts w:cstheme="minorHAnsi" w:hint="cs"/>
                <w:b/>
                <w:bCs/>
                <w:rtl/>
                <w:lang w:bidi="he-IL"/>
              </w:rPr>
              <w:t>6</w:t>
            </w:r>
          </w:p>
        </w:tc>
        <w:tc>
          <w:tcPr>
            <w:tcW w:w="8505" w:type="dxa"/>
          </w:tcPr>
          <w:p w14:paraId="46552978" w14:textId="77777777" w:rsidR="003E40A5" w:rsidRPr="00D75538" w:rsidRDefault="003E40A5" w:rsidP="0099290B">
            <w:pPr>
              <w:bidi/>
              <w:spacing w:before="240" w:after="240" w:line="320" w:lineRule="exact"/>
              <w:jc w:val="both"/>
              <w:rPr>
                <w:rFonts w:cstheme="minorHAnsi"/>
                <w:color w:val="000000" w:themeColor="text1"/>
                <w:rtl/>
                <w:lang w:bidi="he-IL"/>
              </w:rPr>
            </w:pPr>
            <w:r w:rsidRPr="007A0488">
              <w:rPr>
                <w:rFonts w:cstheme="minorHAnsi"/>
                <w:color w:val="000000" w:themeColor="text1"/>
                <w:rtl/>
                <w:lang w:bidi="he-IL"/>
              </w:rPr>
              <w:t xml:space="preserve">הצלחת ההסדר טמונה בחוזקן </w:t>
            </w:r>
            <w:r>
              <w:rPr>
                <w:rFonts w:cstheme="minorHAnsi" w:hint="cs"/>
                <w:color w:val="000000" w:themeColor="text1"/>
                <w:rtl/>
                <w:lang w:bidi="he-IL"/>
              </w:rPr>
              <w:t>ותפקודן</w:t>
            </w:r>
            <w:r w:rsidRPr="007A0488">
              <w:rPr>
                <w:rFonts w:cstheme="minorHAnsi"/>
                <w:color w:val="000000" w:themeColor="text1"/>
                <w:rtl/>
                <w:lang w:bidi="he-IL"/>
              </w:rPr>
              <w:t xml:space="preserve"> של הוועדות הארגוניות </w:t>
            </w:r>
            <w:r>
              <w:rPr>
                <w:rFonts w:cstheme="minorHAnsi" w:hint="cs"/>
                <w:color w:val="000000" w:themeColor="text1"/>
                <w:rtl/>
                <w:lang w:bidi="he-IL"/>
              </w:rPr>
              <w:t>בק</w:t>
            </w:r>
            <w:r w:rsidRPr="007A0488">
              <w:rPr>
                <w:rFonts w:cstheme="minorHAnsi"/>
                <w:color w:val="000000" w:themeColor="text1"/>
                <w:rtl/>
                <w:lang w:bidi="he-IL"/>
              </w:rPr>
              <w:t>י</w:t>
            </w:r>
            <w:r>
              <w:rPr>
                <w:rFonts w:cstheme="minorHAnsi" w:hint="cs"/>
                <w:color w:val="000000" w:themeColor="text1"/>
                <w:rtl/>
                <w:lang w:bidi="he-IL"/>
              </w:rPr>
              <w:t>ו</w:t>
            </w:r>
            <w:r w:rsidRPr="007A0488">
              <w:rPr>
                <w:rFonts w:cstheme="minorHAnsi"/>
                <w:color w:val="000000" w:themeColor="text1"/>
                <w:rtl/>
                <w:lang w:bidi="he-IL"/>
              </w:rPr>
              <w:t>ם ההליך המקצועי המורכב המוטל עליהן</w:t>
            </w:r>
            <w:r w:rsidRPr="007A0488">
              <w:rPr>
                <w:rFonts w:cstheme="minorHAnsi"/>
                <w:color w:val="000000" w:themeColor="text1"/>
              </w:rPr>
              <w:t xml:space="preserve"> </w:t>
            </w:r>
            <w:r>
              <w:rPr>
                <w:rFonts w:cstheme="minorHAnsi" w:hint="cs"/>
                <w:color w:val="000000" w:themeColor="text1"/>
                <w:rtl/>
                <w:lang w:bidi="he-IL"/>
              </w:rPr>
              <w:t>והסתייעותן</w:t>
            </w:r>
            <w:r w:rsidRPr="007A0488">
              <w:rPr>
                <w:rFonts w:cstheme="minorHAnsi"/>
                <w:color w:val="000000" w:themeColor="text1"/>
                <w:rtl/>
              </w:rPr>
              <w:t xml:space="preserve"> </w:t>
            </w:r>
            <w:r>
              <w:rPr>
                <w:rFonts w:cstheme="minorHAnsi" w:hint="cs"/>
                <w:color w:val="000000" w:themeColor="text1"/>
                <w:rtl/>
                <w:lang w:bidi="he-IL"/>
              </w:rPr>
              <w:t>ב</w:t>
            </w:r>
            <w:r w:rsidRPr="007A0488">
              <w:rPr>
                <w:rFonts w:cstheme="minorHAnsi"/>
                <w:color w:val="000000" w:themeColor="text1"/>
                <w:rtl/>
                <w:lang w:bidi="he-IL"/>
              </w:rPr>
              <w:t>אנשי מקצוע מיומנים ומוכשרים בתחומי הדעת הנדרשים</w:t>
            </w:r>
            <w:r>
              <w:rPr>
                <w:rFonts w:cstheme="minorHAnsi" w:hint="cs"/>
                <w:color w:val="000000" w:themeColor="text1"/>
                <w:rtl/>
                <w:lang w:bidi="he-IL"/>
              </w:rPr>
              <w:t>. מומלץ לקבוע תנאי כשירות של המומחה בתחום ניתוח המידע שיכהן כחבר ועדה ועמדתו המקצועית</w:t>
            </w:r>
            <w:r w:rsidR="00CF35EA">
              <w:rPr>
                <w:rFonts w:cstheme="minorHAnsi" w:hint="cs"/>
                <w:color w:val="000000" w:themeColor="text1"/>
                <w:rtl/>
                <w:lang w:bidi="he-IL"/>
              </w:rPr>
              <w:t>,</w:t>
            </w:r>
            <w:r>
              <w:rPr>
                <w:rFonts w:cstheme="minorHAnsi" w:hint="cs"/>
                <w:color w:val="000000" w:themeColor="text1"/>
                <w:rtl/>
                <w:lang w:bidi="he-IL"/>
              </w:rPr>
              <w:t xml:space="preserve"> ביחס למודל ההתממה הנבחר והתאמתו בנסיבות למול ניתוח הסיכונים</w:t>
            </w:r>
            <w:r w:rsidR="00CF35EA">
              <w:rPr>
                <w:rFonts w:cstheme="minorHAnsi" w:hint="cs"/>
                <w:color w:val="000000" w:themeColor="text1"/>
                <w:rtl/>
                <w:lang w:bidi="he-IL"/>
              </w:rPr>
              <w:t>,</w:t>
            </w:r>
            <w:r>
              <w:rPr>
                <w:rFonts w:cstheme="minorHAnsi" w:hint="cs"/>
                <w:color w:val="000000" w:themeColor="text1"/>
                <w:rtl/>
                <w:lang w:bidi="he-IL"/>
              </w:rPr>
              <w:t xml:space="preserve"> קריטית להחלטת הועדה.</w:t>
            </w:r>
          </w:p>
        </w:tc>
      </w:tr>
      <w:tr w:rsidR="003E40A5" w:rsidRPr="00157399" w14:paraId="7BCAE17B" w14:textId="77777777" w:rsidTr="0099290B">
        <w:tc>
          <w:tcPr>
            <w:tcW w:w="1198" w:type="dxa"/>
          </w:tcPr>
          <w:p w14:paraId="37B7EA02" w14:textId="77777777" w:rsidR="003E40A5" w:rsidRPr="00157399" w:rsidRDefault="003E40A5" w:rsidP="0099290B">
            <w:pPr>
              <w:bidi/>
              <w:spacing w:before="240" w:after="240" w:line="360" w:lineRule="auto"/>
              <w:jc w:val="both"/>
              <w:rPr>
                <w:rFonts w:cstheme="minorHAnsi"/>
                <w:b/>
                <w:bCs/>
                <w:rtl/>
                <w:lang w:bidi="he-IL"/>
              </w:rPr>
            </w:pPr>
            <w:r w:rsidRPr="00157399">
              <w:rPr>
                <w:rFonts w:cstheme="minorHAnsi"/>
                <w:b/>
                <w:bCs/>
                <w:rtl/>
                <w:lang w:bidi="he-IL"/>
              </w:rPr>
              <w:t>6(ג)</w:t>
            </w:r>
          </w:p>
        </w:tc>
        <w:tc>
          <w:tcPr>
            <w:tcW w:w="8505" w:type="dxa"/>
          </w:tcPr>
          <w:p w14:paraId="25990E6B" w14:textId="77777777" w:rsidR="003E40A5" w:rsidRPr="00157399" w:rsidRDefault="003E40A5" w:rsidP="0099290B">
            <w:pPr>
              <w:bidi/>
              <w:spacing w:before="240" w:after="240" w:line="320" w:lineRule="exact"/>
              <w:jc w:val="both"/>
              <w:rPr>
                <w:rFonts w:cstheme="minorHAnsi"/>
                <w:lang w:bidi="he-IL"/>
              </w:rPr>
            </w:pPr>
            <w:r w:rsidRPr="00157399">
              <w:rPr>
                <w:rFonts w:cstheme="minorHAnsi"/>
                <w:rtl/>
                <w:lang w:bidi="he-IL"/>
              </w:rPr>
              <w:t>"</w:t>
            </w:r>
            <w:r w:rsidRPr="00157399">
              <w:rPr>
                <w:rFonts w:cstheme="minorHAnsi"/>
                <w:b/>
                <w:bCs/>
                <w:rtl/>
                <w:lang w:bidi="he-IL"/>
              </w:rPr>
              <w:t>חבר ועדה ארגונית לשימוש מחקרי במידע ימונה לתקופה של עד 10 שנים</w:t>
            </w:r>
            <w:r w:rsidRPr="00157399">
              <w:rPr>
                <w:rFonts w:cstheme="minorHAnsi"/>
                <w:rtl/>
                <w:lang w:bidi="he-IL"/>
              </w:rPr>
              <w:t xml:space="preserve">" – בעוד שכהונה ממושכת ועקבית בוועדה חשובה ליציבותה ולבניית מומחיות חבריה, הנצברת גם על סמך ניסיון מצטבר, נראה כי קביעת תקופת כהונה מקסימלית בת 10 שנים, הינה ארוכה מדי ועשויה להביא לחוסר גמישות, חוסר גיוון וקיבעון מסויים בפעילות הוועדה. על כן, רצוי היה להגביל את תקופת הכהונה של חברי הוועדה הארגונית ל - 5 שנים – פרק זמן סביר, המאזן בין האינטרס של התמחות והתמקצעות בעבודת הוועדה, לבין האינטרס בגמישות, הבטחת הגיוון, מניעת הקיבעון ומניעת ניגודי עניינים העשויים לנבוע מהפעלת לחצים על חברי וועדה שנבחרו לכהונה ממושכת. </w:t>
            </w:r>
          </w:p>
        </w:tc>
      </w:tr>
      <w:tr w:rsidR="003E40A5" w:rsidRPr="00157399" w14:paraId="5B0B284C" w14:textId="77777777" w:rsidTr="0099290B">
        <w:tc>
          <w:tcPr>
            <w:tcW w:w="1198" w:type="dxa"/>
          </w:tcPr>
          <w:p w14:paraId="313917E2" w14:textId="77777777" w:rsidR="003E40A5" w:rsidRPr="00157399" w:rsidRDefault="003E40A5" w:rsidP="0099290B">
            <w:pPr>
              <w:bidi/>
              <w:spacing w:before="240" w:after="240" w:line="320" w:lineRule="exact"/>
              <w:jc w:val="both"/>
              <w:rPr>
                <w:rFonts w:cstheme="minorHAnsi"/>
                <w:b/>
                <w:bCs/>
                <w:rtl/>
                <w:lang w:bidi="he-IL"/>
              </w:rPr>
            </w:pPr>
            <w:r>
              <w:rPr>
                <w:rFonts w:cstheme="minorHAnsi" w:hint="cs"/>
                <w:b/>
                <w:bCs/>
                <w:rtl/>
                <w:lang w:bidi="he-IL"/>
              </w:rPr>
              <w:t>7</w:t>
            </w:r>
          </w:p>
        </w:tc>
        <w:tc>
          <w:tcPr>
            <w:tcW w:w="8505" w:type="dxa"/>
          </w:tcPr>
          <w:p w14:paraId="7655F7AA" w14:textId="77777777" w:rsidR="003E40A5" w:rsidRPr="00157399" w:rsidRDefault="003E40A5" w:rsidP="0099290B">
            <w:pPr>
              <w:bidi/>
              <w:spacing w:before="240" w:after="240" w:line="320" w:lineRule="exact"/>
              <w:jc w:val="both"/>
              <w:rPr>
                <w:rFonts w:cstheme="minorHAnsi"/>
                <w:rtl/>
                <w:lang w:bidi="he-IL"/>
              </w:rPr>
            </w:pPr>
            <w:r>
              <w:rPr>
                <w:rFonts w:cstheme="minorHAnsi" w:hint="cs"/>
                <w:rtl/>
                <w:lang w:bidi="he-IL"/>
              </w:rPr>
              <w:t>מומלץ ליצור מנגנון ערר לו</w:t>
            </w:r>
            <w:r w:rsidR="00F32A6E">
              <w:rPr>
                <w:rFonts w:cstheme="minorHAnsi" w:hint="cs"/>
                <w:rtl/>
                <w:lang w:bidi="he-IL"/>
              </w:rPr>
              <w:t>ו</w:t>
            </w:r>
            <w:r>
              <w:rPr>
                <w:rFonts w:cstheme="minorHAnsi" w:hint="cs"/>
                <w:rtl/>
                <w:lang w:bidi="he-IL"/>
              </w:rPr>
              <w:t>עדה הלאומית על החלטת הועדה הארגונית.</w:t>
            </w:r>
          </w:p>
        </w:tc>
      </w:tr>
      <w:tr w:rsidR="003E40A5" w:rsidRPr="00157399" w14:paraId="3CB355EB" w14:textId="77777777" w:rsidTr="0099290B">
        <w:tc>
          <w:tcPr>
            <w:tcW w:w="1198" w:type="dxa"/>
          </w:tcPr>
          <w:p w14:paraId="5615C90B" w14:textId="77777777" w:rsidR="003E40A5" w:rsidRPr="00157399" w:rsidRDefault="003E40A5" w:rsidP="0099290B">
            <w:pPr>
              <w:bidi/>
              <w:spacing w:before="240" w:after="240" w:line="320" w:lineRule="exact"/>
              <w:jc w:val="both"/>
              <w:rPr>
                <w:rFonts w:cstheme="minorHAnsi"/>
                <w:b/>
                <w:bCs/>
                <w:rtl/>
                <w:lang w:bidi="he-IL"/>
              </w:rPr>
            </w:pPr>
            <w:r w:rsidRPr="00157399">
              <w:rPr>
                <w:rFonts w:cstheme="minorHAnsi"/>
                <w:b/>
                <w:bCs/>
                <w:rtl/>
                <w:lang w:bidi="he-IL"/>
              </w:rPr>
              <w:t>7 (ב)</w:t>
            </w:r>
          </w:p>
        </w:tc>
        <w:tc>
          <w:tcPr>
            <w:tcW w:w="8505" w:type="dxa"/>
          </w:tcPr>
          <w:p w14:paraId="1CCE983E" w14:textId="77777777" w:rsidR="003E40A5" w:rsidRPr="00157399" w:rsidRDefault="003E40A5" w:rsidP="0099290B">
            <w:pPr>
              <w:bidi/>
              <w:spacing w:before="240" w:after="240" w:line="320" w:lineRule="exact"/>
              <w:jc w:val="both"/>
              <w:rPr>
                <w:rFonts w:cstheme="minorHAnsi"/>
                <w:rtl/>
                <w:lang w:bidi="he-IL"/>
              </w:rPr>
            </w:pPr>
            <w:r w:rsidRPr="00157399">
              <w:rPr>
                <w:rFonts w:cstheme="minorHAnsi"/>
                <w:rtl/>
                <w:lang w:bidi="he-IL"/>
              </w:rPr>
              <w:t>"</w:t>
            </w:r>
            <w:r w:rsidRPr="00157399">
              <w:rPr>
                <w:rFonts w:cstheme="minorHAnsi"/>
                <w:b/>
                <w:bCs/>
                <w:rtl/>
                <w:lang w:bidi="he-IL"/>
              </w:rPr>
              <w:t>חבר הוועדה הלאומית לשימוש מחקרי במידע ימונה לתקופה של עד 10 שנים</w:t>
            </w:r>
            <w:r w:rsidRPr="00157399">
              <w:rPr>
                <w:rFonts w:cstheme="minorHAnsi"/>
                <w:rtl/>
                <w:lang w:bidi="he-IL"/>
              </w:rPr>
              <w:t>" – בעוד שכהונה ממושכת ועקבית בוועדה חשובה ליציבותה ולבניית מומחיות חבריה, הנצברת גם על סמך ניסיון מצטבר, נראה כי קביעת תקופת כהונה מקסימלית בת 10 שנים, הינה ארוכה מדי ועשויה להביא לחוסר גמישות, חוסר גיוון וקיבעון מסויים בפעילות הוועדה. על כן, רצוי היה להגביל את תקופת הכהונה של חברי הוועדה הלאומית ל - 7 שנים – פרק זמן סביר, המאזן בין האינטרס של התמחות והתמקצעות בעבודת הוועדה, לבין האינטרס בגמישות, הבטחת הגיוון, מניעת הקיבעון ומניעת ניגודי עניינים העשויים לנבוע מהפעלת לחצים על חברי וועדה שנבחרו לכהונה ממושכת.</w:t>
            </w:r>
          </w:p>
        </w:tc>
      </w:tr>
      <w:tr w:rsidR="003E40A5" w:rsidRPr="00157399" w14:paraId="06DABFFC" w14:textId="77777777" w:rsidTr="0099290B">
        <w:tc>
          <w:tcPr>
            <w:tcW w:w="1198" w:type="dxa"/>
          </w:tcPr>
          <w:p w14:paraId="46F3F894" w14:textId="77777777" w:rsidR="003E40A5" w:rsidRPr="00157399" w:rsidRDefault="003E40A5" w:rsidP="0099290B">
            <w:pPr>
              <w:bidi/>
              <w:spacing w:before="240" w:after="240" w:line="320" w:lineRule="exact"/>
              <w:jc w:val="both"/>
              <w:rPr>
                <w:rFonts w:cstheme="minorHAnsi"/>
                <w:b/>
                <w:bCs/>
                <w:rtl/>
                <w:lang w:bidi="he-IL"/>
              </w:rPr>
            </w:pPr>
            <w:r w:rsidRPr="00157399">
              <w:rPr>
                <w:rFonts w:cstheme="minorHAnsi"/>
                <w:b/>
                <w:bCs/>
                <w:rtl/>
                <w:lang w:bidi="he-IL"/>
              </w:rPr>
              <w:t>8 (הוספת ס"ק לאחר ס' 8(ה)</w:t>
            </w:r>
          </w:p>
        </w:tc>
        <w:tc>
          <w:tcPr>
            <w:tcW w:w="8505" w:type="dxa"/>
          </w:tcPr>
          <w:p w14:paraId="1894284D" w14:textId="77777777" w:rsidR="003E40A5" w:rsidRPr="00157399" w:rsidRDefault="003E40A5" w:rsidP="0099290B">
            <w:pPr>
              <w:bidi/>
              <w:spacing w:before="240" w:after="240" w:line="320" w:lineRule="exact"/>
              <w:jc w:val="both"/>
              <w:rPr>
                <w:rFonts w:cstheme="minorHAnsi"/>
                <w:rtl/>
                <w:lang w:bidi="he-IL"/>
              </w:rPr>
            </w:pPr>
            <w:r w:rsidRPr="00157399">
              <w:rPr>
                <w:rFonts w:cstheme="minorHAnsi"/>
                <w:rtl/>
                <w:lang w:bidi="he-IL"/>
              </w:rPr>
              <w:t>מן הראוי לתגמל כספית את חברי הוועדה הארגונית והלאומית לשימוש במידע, בגין פעילותם במסגרת הוועדות. תגמול סביר והולם יבטיח גם את שיתופם של חברים מומחים, מנוסים ומובילים בתחומם, בוועדות אלו</w:t>
            </w:r>
            <w:r>
              <w:rPr>
                <w:rFonts w:cstheme="minorHAnsi"/>
                <w:rtl/>
                <w:lang w:bidi="he-IL"/>
              </w:rPr>
              <w:t xml:space="preserve"> ואת</w:t>
            </w:r>
            <w:r w:rsidR="00CF35EA">
              <w:rPr>
                <w:rFonts w:cstheme="minorHAnsi" w:hint="cs"/>
                <w:rtl/>
                <w:lang w:bidi="he-IL"/>
              </w:rPr>
              <w:t xml:space="preserve"> </w:t>
            </w:r>
            <w:r>
              <w:rPr>
                <w:rFonts w:cstheme="minorHAnsi"/>
                <w:rtl/>
                <w:lang w:bidi="he-IL"/>
              </w:rPr>
              <w:t>נכונותם להשקיע את הזמן הנדרש בביצ</w:t>
            </w:r>
            <w:r w:rsidR="00CF35EA">
              <w:rPr>
                <w:rFonts w:cstheme="minorHAnsi" w:hint="cs"/>
                <w:rtl/>
                <w:lang w:bidi="he-IL"/>
              </w:rPr>
              <w:t>ו</w:t>
            </w:r>
            <w:r>
              <w:rPr>
                <w:rFonts w:cstheme="minorHAnsi"/>
                <w:rtl/>
                <w:lang w:bidi="he-IL"/>
              </w:rPr>
              <w:t>ע העבודה המורכבת</w:t>
            </w:r>
            <w:r w:rsidRPr="00157399">
              <w:rPr>
                <w:rFonts w:cstheme="minorHAnsi"/>
                <w:rtl/>
                <w:lang w:bidi="he-IL"/>
              </w:rPr>
              <w:t>.</w:t>
            </w:r>
          </w:p>
        </w:tc>
      </w:tr>
      <w:tr w:rsidR="003E40A5" w:rsidRPr="00157399" w14:paraId="13BB100C" w14:textId="77777777" w:rsidTr="0099290B">
        <w:tc>
          <w:tcPr>
            <w:tcW w:w="1198" w:type="dxa"/>
          </w:tcPr>
          <w:p w14:paraId="1103C7E5" w14:textId="77777777" w:rsidR="003E40A5" w:rsidRPr="00157399" w:rsidRDefault="003E40A5" w:rsidP="0099290B">
            <w:pPr>
              <w:bidi/>
              <w:spacing w:before="240" w:after="240" w:line="320" w:lineRule="exact"/>
              <w:jc w:val="both"/>
              <w:rPr>
                <w:rFonts w:cstheme="minorHAnsi"/>
                <w:b/>
                <w:bCs/>
                <w:rtl/>
                <w:lang w:bidi="he-IL"/>
              </w:rPr>
            </w:pPr>
            <w:r w:rsidRPr="00157399">
              <w:rPr>
                <w:rFonts w:cstheme="minorHAnsi"/>
                <w:b/>
                <w:bCs/>
                <w:rtl/>
                <w:lang w:bidi="he-IL"/>
              </w:rPr>
              <w:t>14(ג)(6)</w:t>
            </w:r>
          </w:p>
        </w:tc>
        <w:tc>
          <w:tcPr>
            <w:tcW w:w="8505" w:type="dxa"/>
          </w:tcPr>
          <w:p w14:paraId="59184926" w14:textId="77777777" w:rsidR="003E40A5" w:rsidRPr="00157399" w:rsidRDefault="003E40A5" w:rsidP="0099290B">
            <w:pPr>
              <w:bidi/>
              <w:spacing w:before="240" w:after="240" w:line="320" w:lineRule="exact"/>
              <w:jc w:val="both"/>
              <w:rPr>
                <w:rFonts w:cstheme="minorHAnsi"/>
                <w:rtl/>
                <w:lang w:bidi="he-IL"/>
              </w:rPr>
            </w:pPr>
            <w:r w:rsidRPr="00157399">
              <w:rPr>
                <w:rFonts w:cstheme="minorHAnsi"/>
                <w:rtl/>
                <w:lang w:bidi="he-IL"/>
              </w:rPr>
              <w:t>"</w:t>
            </w:r>
            <w:r w:rsidRPr="00157399">
              <w:rPr>
                <w:rFonts w:cstheme="minorHAnsi"/>
                <w:b/>
                <w:bCs/>
                <w:rtl/>
                <w:lang w:bidi="he-IL"/>
              </w:rPr>
              <w:t>לא תהיה לחוקר אפשרות לייצא [...] מידע בריאות</w:t>
            </w:r>
            <w:r w:rsidRPr="00157399">
              <w:rPr>
                <w:rFonts w:cstheme="minorHAnsi"/>
                <w:rtl/>
                <w:lang w:bidi="he-IL"/>
              </w:rPr>
              <w:t xml:space="preserve">" – דרישה זו מגבילה את אפשרויות השימוש של החוקר בתוצאות המחקר כך שעשויה להפגע </w:t>
            </w:r>
            <w:r w:rsidR="00CF35EA">
              <w:rPr>
                <w:rFonts w:cstheme="minorHAnsi" w:hint="cs"/>
                <w:rtl/>
                <w:lang w:bidi="he-IL"/>
              </w:rPr>
              <w:t>יכולתו לפרסם את ממצאיו מאחר שכתבי עת מקצועיים דורשים לקבל לבקרה של תקיפות ומהימנות המחקר הוכחות. יתכן</w:t>
            </w:r>
            <w:r w:rsidRPr="00157399">
              <w:rPr>
                <w:rFonts w:cstheme="minorHAnsi"/>
                <w:rtl/>
                <w:lang w:bidi="he-IL"/>
              </w:rPr>
              <w:t xml:space="preserve"> כי כוונת המחוקק הייתה לאסור על הוצאה של מידע בריאות שאיננו מותמם לפי המוסדר בסעיף 14(ד). חיזוק לכך ניתן למצוא בעובדה שאפילו דגימות גנטיות ניתן להעביר לחוקר שותף מחוץ לישראל, לאחר שאלו עברו קידוד (והמפתח לקוד נותר בידי החוקר בישראל) ובתנאי שהוגש מכתב התחייבות מאת החוקר/המעבדה בחו"ל אליהם מועברות הדגימות, לפיו הם מתחייבים לפעול על פי הנחיות הוועדה והוראות הדין הרלוונטיות, וזאת בהתאם לס' 6.2.7 לנוהל לניסויים רפואיים בבני אדם (2016).</w:t>
            </w:r>
            <w:r w:rsidRPr="00157399">
              <w:rPr>
                <w:rStyle w:val="FootnoteReference"/>
                <w:rFonts w:cstheme="minorHAnsi"/>
                <w:rtl/>
                <w:lang w:bidi="he-IL"/>
              </w:rPr>
              <w:footnoteReference w:id="25"/>
            </w:r>
          </w:p>
        </w:tc>
      </w:tr>
      <w:tr w:rsidR="003E40A5" w:rsidRPr="00157399" w14:paraId="3771F534" w14:textId="77777777" w:rsidTr="0099290B">
        <w:tc>
          <w:tcPr>
            <w:tcW w:w="1198" w:type="dxa"/>
          </w:tcPr>
          <w:p w14:paraId="0A635CA7" w14:textId="77777777" w:rsidR="003E40A5" w:rsidRPr="00157399" w:rsidRDefault="003E40A5" w:rsidP="0099290B">
            <w:pPr>
              <w:bidi/>
              <w:spacing w:before="240" w:after="240" w:line="320" w:lineRule="exact"/>
              <w:jc w:val="both"/>
              <w:rPr>
                <w:rFonts w:cstheme="minorHAnsi"/>
                <w:b/>
                <w:bCs/>
                <w:rtl/>
                <w:lang w:bidi="he-IL"/>
              </w:rPr>
            </w:pPr>
            <w:r w:rsidRPr="00157399">
              <w:rPr>
                <w:rFonts w:cstheme="minorHAnsi"/>
                <w:b/>
                <w:bCs/>
                <w:rtl/>
                <w:lang w:bidi="he-IL"/>
              </w:rPr>
              <w:t xml:space="preserve">14(ד) </w:t>
            </w:r>
          </w:p>
        </w:tc>
        <w:tc>
          <w:tcPr>
            <w:tcW w:w="8505" w:type="dxa"/>
          </w:tcPr>
          <w:p w14:paraId="20E6204D" w14:textId="77777777" w:rsidR="003E40A5" w:rsidRPr="00157399" w:rsidRDefault="003E40A5" w:rsidP="0099290B">
            <w:pPr>
              <w:bidi/>
              <w:spacing w:before="240" w:after="240" w:line="320" w:lineRule="exact"/>
              <w:jc w:val="both"/>
              <w:rPr>
                <w:rFonts w:cstheme="minorHAnsi"/>
                <w:rtl/>
                <w:lang w:bidi="he-IL"/>
              </w:rPr>
            </w:pPr>
            <w:r w:rsidRPr="00157399">
              <w:rPr>
                <w:rFonts w:cstheme="minorHAnsi"/>
                <w:rtl/>
                <w:lang w:bidi="he-IL"/>
              </w:rPr>
              <w:t>"</w:t>
            </w:r>
            <w:r w:rsidRPr="00157399">
              <w:rPr>
                <w:rFonts w:cstheme="minorHAnsi"/>
                <w:b/>
                <w:bCs/>
                <w:rtl/>
                <w:lang w:bidi="he-IL"/>
              </w:rPr>
              <w:t>[...] רק מידע שאינו ניתן לזיהוי</w:t>
            </w:r>
            <w:r w:rsidRPr="00157399">
              <w:rPr>
                <w:rFonts w:cstheme="minorHAnsi"/>
                <w:rtl/>
                <w:lang w:bidi="he-IL"/>
              </w:rPr>
              <w:t xml:space="preserve">" – השימוש במושג "מידע שאינו ניתן לזיהוי" איננו ברור ואף איננו מוגדר בסעיף 1 להגדרות. מומלץ לשנות זאת ל"מידע מותמם". </w:t>
            </w:r>
          </w:p>
        </w:tc>
      </w:tr>
      <w:tr w:rsidR="003E40A5" w:rsidRPr="00157399" w14:paraId="5FB0B71F" w14:textId="77777777" w:rsidTr="0099290B">
        <w:tc>
          <w:tcPr>
            <w:tcW w:w="1198" w:type="dxa"/>
          </w:tcPr>
          <w:p w14:paraId="29D88D74" w14:textId="77777777" w:rsidR="003E40A5" w:rsidRPr="00157399" w:rsidRDefault="003E40A5" w:rsidP="0099290B">
            <w:pPr>
              <w:bidi/>
              <w:spacing w:before="240" w:after="240" w:line="320" w:lineRule="exact"/>
              <w:jc w:val="both"/>
              <w:rPr>
                <w:rFonts w:cstheme="minorHAnsi"/>
                <w:b/>
                <w:bCs/>
                <w:rtl/>
                <w:lang w:bidi="he-IL"/>
              </w:rPr>
            </w:pPr>
            <w:r w:rsidRPr="00157399">
              <w:rPr>
                <w:rFonts w:cstheme="minorHAnsi"/>
                <w:b/>
                <w:bCs/>
                <w:rtl/>
                <w:lang w:bidi="he-IL"/>
              </w:rPr>
              <w:t>17(ד)</w:t>
            </w:r>
          </w:p>
        </w:tc>
        <w:tc>
          <w:tcPr>
            <w:tcW w:w="8505" w:type="dxa"/>
          </w:tcPr>
          <w:p w14:paraId="73B77281" w14:textId="77777777" w:rsidR="003E40A5" w:rsidRPr="00157399" w:rsidRDefault="003E40A5" w:rsidP="0099290B">
            <w:pPr>
              <w:bidi/>
              <w:spacing w:before="240" w:after="240" w:line="320" w:lineRule="exact"/>
              <w:jc w:val="both"/>
              <w:rPr>
                <w:rFonts w:cstheme="minorHAnsi"/>
                <w:rtl/>
                <w:lang w:bidi="he-IL"/>
              </w:rPr>
            </w:pPr>
            <w:r w:rsidRPr="00157399">
              <w:rPr>
                <w:rFonts w:cstheme="minorHAnsi"/>
                <w:rtl/>
                <w:lang w:bidi="he-IL"/>
              </w:rPr>
              <w:t>"</w:t>
            </w:r>
            <w:r w:rsidRPr="00157399">
              <w:rPr>
                <w:rFonts w:cstheme="minorHAnsi"/>
                <w:b/>
                <w:bCs/>
                <w:rtl/>
                <w:lang w:bidi="he-IL"/>
              </w:rPr>
              <w:t xml:space="preserve">מידע מותמם </w:t>
            </w:r>
            <w:r>
              <w:rPr>
                <w:rFonts w:cstheme="minorHAnsi"/>
                <w:b/>
                <w:bCs/>
                <w:rtl/>
                <w:lang w:bidi="he-IL"/>
              </w:rPr>
              <w:t xml:space="preserve">הנמסר לחוקר חיצוני </w:t>
            </w:r>
            <w:r w:rsidRPr="00157399">
              <w:rPr>
                <w:rFonts w:cstheme="minorHAnsi"/>
                <w:b/>
                <w:bCs/>
                <w:rtl/>
                <w:lang w:bidi="he-IL"/>
              </w:rPr>
              <w:t>לא יעבור אל מחוץ לגבולות ישראל</w:t>
            </w:r>
            <w:r w:rsidRPr="00157399">
              <w:rPr>
                <w:rFonts w:cstheme="minorHAnsi"/>
                <w:rtl/>
                <w:lang w:bidi="he-IL"/>
              </w:rPr>
              <w:t xml:space="preserve">" – </w:t>
            </w:r>
            <w:r>
              <w:rPr>
                <w:rFonts w:cstheme="minorHAnsi"/>
                <w:rtl/>
                <w:lang w:bidi="he-IL"/>
              </w:rPr>
              <w:t>אופי המחקר הרפואי הצפוי כולל גם שיתופי פעולה מחקריים בין גופים בינלאומיים, ממשלתיים, אקדמיים ומסחריים. סעיף זה מגביל את יכולתה של ישראל לקחת חלק במחקרים חוצי גבולות אלו, ומצמצם את סיכויי השגת היעד הממשלתי של קידום שיתופי פעולה בתחום מחקרי הבריאות</w:t>
            </w:r>
            <w:r w:rsidR="00F32A6E">
              <w:rPr>
                <w:rFonts w:cstheme="minorHAnsi" w:hint="cs"/>
                <w:rtl/>
                <w:lang w:bidi="he-IL"/>
              </w:rPr>
              <w:t xml:space="preserve"> וקידום מעמדה של ישראל בזירה הבינלאומית בתחום זה</w:t>
            </w:r>
            <w:r>
              <w:rPr>
                <w:rFonts w:cstheme="minorHAnsi"/>
                <w:rtl/>
                <w:lang w:bidi="he-IL"/>
              </w:rPr>
              <w:t xml:space="preserve">. לעתים תנאי להשתתפות חוקר ישראלי במחקר שיתופי הינו שיתוף מידע גם מצידו כפי שמשתפים יתר החוקרים במיזם. </w:t>
            </w:r>
            <w:r w:rsidRPr="00157399">
              <w:rPr>
                <w:rFonts w:cstheme="minorHAnsi"/>
                <w:rtl/>
                <w:lang w:bidi="he-IL"/>
              </w:rPr>
              <w:t>ארגוני המחקר הבינלאומיים הגדולים ובמיוחד ספקי שירותי הענן הגדולים, מקיימים בקרות ומנגנוני אבטחת מידע מחמיר</w:t>
            </w:r>
            <w:r>
              <w:rPr>
                <w:rFonts w:cstheme="minorHAnsi"/>
                <w:rtl/>
                <w:lang w:bidi="he-IL"/>
              </w:rPr>
              <w:t>ים.</w:t>
            </w:r>
            <w:r w:rsidRPr="00157399">
              <w:rPr>
                <w:rFonts w:cstheme="minorHAnsi"/>
                <w:rtl/>
                <w:lang w:bidi="he-IL"/>
              </w:rPr>
              <w:t xml:space="preserve"> כל ארגון בישראל רשאי להעביר מידע בריאות שאינו מותמם לספק מחשוב ענן וזאת, בכפוף להסכם עם הספק, קיום חובות אבטחת מידע (כולל הוראות חוזר הגנה על מידע במערכות ממוחשבות במערכת הבריאות) והוראות תקנות העברת מידע לחו"ל</w:t>
            </w:r>
            <w:r>
              <w:rPr>
                <w:rFonts w:cstheme="minorHAnsi"/>
                <w:rtl/>
                <w:lang w:bidi="he-IL"/>
              </w:rPr>
              <w:t>. ביחס ל</w:t>
            </w:r>
            <w:r w:rsidRPr="00157399">
              <w:rPr>
                <w:rFonts w:cstheme="minorHAnsi"/>
                <w:rtl/>
                <w:lang w:bidi="he-IL"/>
              </w:rPr>
              <w:t>חוקר ש</w:t>
            </w:r>
            <w:r w:rsidR="00F32A6E">
              <w:rPr>
                <w:rFonts w:cstheme="minorHAnsi" w:hint="cs"/>
                <w:rtl/>
                <w:lang w:bidi="he-IL"/>
              </w:rPr>
              <w:t>נבדק ואושר לגביו</w:t>
            </w:r>
            <w:r w:rsidRPr="00157399">
              <w:rPr>
                <w:rFonts w:cstheme="minorHAnsi"/>
                <w:rtl/>
                <w:lang w:bidi="he-IL"/>
              </w:rPr>
              <w:t xml:space="preserve"> כי </w:t>
            </w:r>
            <w:r w:rsidR="00F32A6E">
              <w:rPr>
                <w:rFonts w:cstheme="minorHAnsi" w:hint="cs"/>
                <w:rtl/>
                <w:lang w:bidi="he-IL"/>
              </w:rPr>
              <w:t xml:space="preserve">הוא </w:t>
            </w:r>
            <w:r w:rsidRPr="00157399">
              <w:rPr>
                <w:rFonts w:cstheme="minorHAnsi"/>
                <w:rtl/>
                <w:lang w:bidi="he-IL"/>
              </w:rPr>
              <w:t>מקיים בקרות אבטחת מידע מחמירות</w:t>
            </w:r>
            <w:r w:rsidR="00F32A6E">
              <w:rPr>
                <w:rFonts w:cstheme="minorHAnsi" w:hint="cs"/>
                <w:rtl/>
                <w:lang w:bidi="he-IL"/>
              </w:rPr>
              <w:t>,</w:t>
            </w:r>
            <w:r w:rsidRPr="00157399">
              <w:rPr>
                <w:rFonts w:cstheme="minorHAnsi"/>
                <w:rtl/>
                <w:lang w:bidi="he-IL"/>
              </w:rPr>
              <w:t xml:space="preserve"> </w:t>
            </w:r>
            <w:r w:rsidR="00F32A6E">
              <w:rPr>
                <w:rFonts w:cstheme="minorHAnsi" w:hint="cs"/>
                <w:rtl/>
                <w:lang w:bidi="he-IL"/>
              </w:rPr>
              <w:t xml:space="preserve">הוא </w:t>
            </w:r>
            <w:r w:rsidRPr="00157399">
              <w:rPr>
                <w:rFonts w:cstheme="minorHAnsi"/>
                <w:rtl/>
                <w:lang w:bidi="he-IL"/>
              </w:rPr>
              <w:t xml:space="preserve">התחייב בהסכם כי לא יזהה מחדש את המידע, </w:t>
            </w:r>
            <w:r w:rsidR="00F32A6E">
              <w:rPr>
                <w:rFonts w:cstheme="minorHAnsi" w:hint="cs"/>
                <w:rtl/>
                <w:lang w:bidi="he-IL"/>
              </w:rPr>
              <w:t xml:space="preserve">לאחר </w:t>
            </w:r>
            <w:r>
              <w:rPr>
                <w:rFonts w:cstheme="minorHAnsi"/>
                <w:rtl/>
                <w:lang w:bidi="he-IL"/>
              </w:rPr>
              <w:t xml:space="preserve">תהליך </w:t>
            </w:r>
            <w:r w:rsidR="00F32A6E">
              <w:rPr>
                <w:rFonts w:cstheme="minorHAnsi" w:hint="cs"/>
                <w:rtl/>
                <w:lang w:bidi="he-IL"/>
              </w:rPr>
              <w:t>ניתוח</w:t>
            </w:r>
            <w:r>
              <w:rPr>
                <w:rFonts w:cstheme="minorHAnsi"/>
                <w:rtl/>
                <w:lang w:bidi="he-IL"/>
              </w:rPr>
              <w:t xml:space="preserve"> הסיכונים המלא על ידי הועדה ובחירת אמצעי התממה הולמים, ו</w:t>
            </w:r>
            <w:r w:rsidR="00F32A6E">
              <w:rPr>
                <w:rFonts w:cstheme="minorHAnsi" w:hint="cs"/>
                <w:rtl/>
                <w:lang w:bidi="he-IL"/>
              </w:rPr>
              <w:t>בכפוף ל</w:t>
            </w:r>
            <w:r>
              <w:rPr>
                <w:rFonts w:cstheme="minorHAnsi"/>
                <w:rtl/>
                <w:lang w:bidi="he-IL"/>
              </w:rPr>
              <w:t>קבלת</w:t>
            </w:r>
            <w:r w:rsidR="00F32A6E">
              <w:rPr>
                <w:rFonts w:cstheme="minorHAnsi" w:hint="cs"/>
                <w:rtl/>
                <w:lang w:bidi="he-IL"/>
              </w:rPr>
              <w:t xml:space="preserve"> </w:t>
            </w:r>
            <w:r>
              <w:rPr>
                <w:rFonts w:cstheme="minorHAnsi"/>
                <w:rtl/>
                <w:lang w:bidi="he-IL"/>
              </w:rPr>
              <w:t xml:space="preserve">אישור </w:t>
            </w:r>
            <w:r w:rsidR="00F32A6E">
              <w:rPr>
                <w:rFonts w:cstheme="minorHAnsi" w:hint="cs"/>
                <w:rtl/>
                <w:lang w:bidi="he-IL"/>
              </w:rPr>
              <w:t>ה</w:t>
            </w:r>
            <w:r>
              <w:rPr>
                <w:rFonts w:cstheme="minorHAnsi"/>
                <w:rtl/>
                <w:lang w:bidi="he-IL"/>
              </w:rPr>
              <w:t xml:space="preserve">ועדה </w:t>
            </w:r>
            <w:r w:rsidR="00F32A6E">
              <w:rPr>
                <w:rFonts w:cstheme="minorHAnsi" w:hint="cs"/>
                <w:rtl/>
                <w:lang w:bidi="he-IL"/>
              </w:rPr>
              <w:t>ה</w:t>
            </w:r>
            <w:r>
              <w:rPr>
                <w:rFonts w:cstheme="minorHAnsi"/>
                <w:rtl/>
                <w:lang w:bidi="he-IL"/>
              </w:rPr>
              <w:t xml:space="preserve">לאומית, מומלץ </w:t>
            </w:r>
            <w:r w:rsidR="00F32A6E">
              <w:rPr>
                <w:rFonts w:cstheme="minorHAnsi" w:hint="cs"/>
                <w:rtl/>
                <w:lang w:bidi="he-IL"/>
              </w:rPr>
              <w:t>לאפשר העברה לחו״ל בנסיבות אלו</w:t>
            </w:r>
            <w:r>
              <w:rPr>
                <w:rFonts w:cstheme="minorHAnsi"/>
                <w:rtl/>
                <w:lang w:bidi="he-IL"/>
              </w:rPr>
              <w:t>.</w:t>
            </w:r>
          </w:p>
        </w:tc>
      </w:tr>
      <w:tr w:rsidR="003E40A5" w:rsidRPr="00157399" w14:paraId="21967355" w14:textId="77777777" w:rsidTr="0099290B">
        <w:tc>
          <w:tcPr>
            <w:tcW w:w="1198" w:type="dxa"/>
          </w:tcPr>
          <w:p w14:paraId="196E0EA2" w14:textId="77777777" w:rsidR="003E40A5" w:rsidRPr="00157399" w:rsidRDefault="003E40A5" w:rsidP="0099290B">
            <w:pPr>
              <w:bidi/>
              <w:spacing w:before="240" w:after="240" w:line="360" w:lineRule="auto"/>
              <w:jc w:val="both"/>
              <w:rPr>
                <w:rFonts w:cstheme="minorHAnsi"/>
                <w:b/>
                <w:bCs/>
                <w:rtl/>
                <w:lang w:bidi="he-IL"/>
              </w:rPr>
            </w:pPr>
            <w:r w:rsidRPr="00157399">
              <w:rPr>
                <w:rFonts w:cstheme="minorHAnsi"/>
                <w:b/>
                <w:bCs/>
                <w:rtl/>
              </w:rPr>
              <w:t>19(</w:t>
            </w:r>
            <w:r w:rsidRPr="00157399">
              <w:rPr>
                <w:rFonts w:cstheme="minorHAnsi"/>
                <w:b/>
                <w:bCs/>
                <w:rtl/>
                <w:lang w:bidi="he-IL"/>
              </w:rPr>
              <w:t>א</w:t>
            </w:r>
            <w:r w:rsidRPr="00157399">
              <w:rPr>
                <w:rFonts w:cstheme="minorHAnsi"/>
                <w:b/>
                <w:bCs/>
                <w:rtl/>
              </w:rPr>
              <w:t>)</w:t>
            </w:r>
          </w:p>
        </w:tc>
        <w:tc>
          <w:tcPr>
            <w:tcW w:w="8505" w:type="dxa"/>
          </w:tcPr>
          <w:p w14:paraId="2E3425AF" w14:textId="77777777" w:rsidR="003E40A5" w:rsidRPr="00157399" w:rsidRDefault="003E40A5" w:rsidP="0099290B">
            <w:pPr>
              <w:bidi/>
              <w:spacing w:before="240" w:after="240" w:line="320" w:lineRule="exact"/>
              <w:jc w:val="both"/>
              <w:rPr>
                <w:rFonts w:cstheme="minorHAnsi"/>
                <w:b/>
                <w:bCs/>
                <w:rtl/>
                <w:lang w:bidi="he-IL"/>
              </w:rPr>
            </w:pPr>
            <w:r w:rsidRPr="00157399">
              <w:rPr>
                <w:rFonts w:cstheme="minorHAnsi"/>
                <w:rtl/>
                <w:lang w:bidi="he-IL"/>
              </w:rPr>
              <w:t>תקנה זו קובעת רשימה סגורה של תכניות לימודים (מדעי הרפואה, מדעי החיים, מדעי הטבע ומקצועות הבריאות) אשר לתלמידיהן תינתן גישה למידע בריאות למטרת שימוש מחקרי. רשימה סגורה זו מגבילה את הגישה לנתוני בריאות לצרכים אקדמיים, באופן שאינו לוקח בחשבון את השימושים בנתוני עתק רפואיים בתחומים טכנולוגיים, בראש ובראשונה – במסגרת מחקר ופיתוח של טכנולוגיות בינה מלאכותית (ובמיוחד,</w:t>
            </w:r>
            <w:r w:rsidRPr="00157399">
              <w:rPr>
                <w:rFonts w:cstheme="minorHAnsi"/>
                <w:lang w:bidi="he-IL"/>
              </w:rPr>
              <w:t xml:space="preserve">Machine Learning </w:t>
            </w:r>
            <w:r w:rsidRPr="00157399">
              <w:rPr>
                <w:rFonts w:cstheme="minorHAnsi"/>
                <w:rtl/>
                <w:lang w:bidi="he-IL"/>
              </w:rPr>
              <w:t>) המוזנות בנתוני בריאות ומאומנות על בסיסן. כמו כן, השימוש המחקרי האקדמי המצוין כאן, מתעלם מן האופי המולטי והאינטר-דיסציפלינרי של העולם האקדמי כיום, כך שנתונים מעין אלו עשויים להיות מבוקשים גם עלי-ידי חוקרים ממדעי החברה והרוח (סוציולוגיה, משפט), מדעי המחשב וכיו"ב. מוצע להרחיב את הרשימה כדי לכלול בה גם את התחומים המנויים לעיל, או להבהיר שאין מדובר ברשימה סגורה של תחומי לימוד.</w:t>
            </w:r>
          </w:p>
        </w:tc>
      </w:tr>
    </w:tbl>
    <w:p w14:paraId="23D345AB" w14:textId="77777777" w:rsidR="003E40A5" w:rsidRPr="00157399" w:rsidRDefault="003E40A5" w:rsidP="00CF35EA">
      <w:pPr>
        <w:bidi/>
        <w:spacing w:before="240" w:after="240" w:line="320" w:lineRule="exact"/>
        <w:jc w:val="both"/>
        <w:rPr>
          <w:rFonts w:asciiTheme="minorHAnsi" w:hAnsiTheme="minorHAnsi" w:cstheme="minorHAnsi"/>
          <w:color w:val="000000" w:themeColor="text1"/>
          <w:rtl/>
        </w:rPr>
      </w:pPr>
      <w:r w:rsidRPr="00157399">
        <w:rPr>
          <w:rFonts w:asciiTheme="minorHAnsi" w:hAnsiTheme="minorHAnsi" w:cstheme="minorHAnsi"/>
          <w:color w:val="000000" w:themeColor="text1"/>
          <w:rtl/>
        </w:rPr>
        <w:t>ברצוני להודות לעו״ד ד״ר סיון תמיר, יועצת מדיניות, ועו״ד נעם רוזן, יועץ מדיניות במכון, על עבודתם המאומצת</w:t>
      </w:r>
      <w:r>
        <w:rPr>
          <w:rFonts w:asciiTheme="minorHAnsi" w:hAnsiTheme="minorHAnsi" w:cstheme="minorHAnsi" w:hint="cs"/>
          <w:color w:val="000000" w:themeColor="text1"/>
          <w:rtl/>
        </w:rPr>
        <w:t xml:space="preserve"> והפוריה,</w:t>
      </w:r>
      <w:r w:rsidRPr="00157399">
        <w:rPr>
          <w:rFonts w:asciiTheme="minorHAnsi" w:hAnsiTheme="minorHAnsi" w:cstheme="minorHAnsi"/>
          <w:color w:val="000000" w:themeColor="text1"/>
          <w:rtl/>
        </w:rPr>
        <w:t xml:space="preserve"> ו</w:t>
      </w:r>
      <w:r>
        <w:rPr>
          <w:rFonts w:asciiTheme="minorHAnsi" w:hAnsiTheme="minorHAnsi" w:cstheme="minorHAnsi" w:hint="cs"/>
          <w:color w:val="000000" w:themeColor="text1"/>
          <w:rtl/>
        </w:rPr>
        <w:t xml:space="preserve">על </w:t>
      </w:r>
      <w:r w:rsidRPr="00157399">
        <w:rPr>
          <w:rFonts w:asciiTheme="minorHAnsi" w:hAnsiTheme="minorHAnsi" w:cstheme="minorHAnsi"/>
          <w:color w:val="000000" w:themeColor="text1"/>
          <w:rtl/>
        </w:rPr>
        <w:t>השתתפותם בהכנת עמדה זו.</w:t>
      </w:r>
    </w:p>
    <w:p w14:paraId="7B247707" w14:textId="77777777" w:rsidR="00370B97" w:rsidRDefault="003E40A5" w:rsidP="00CF35EA">
      <w:pPr>
        <w:bidi/>
        <w:spacing w:before="240" w:after="240" w:line="320" w:lineRule="exact"/>
        <w:jc w:val="both"/>
        <w:rPr>
          <w:rFonts w:asciiTheme="minorHAnsi" w:hAnsiTheme="minorHAnsi" w:cstheme="minorHAnsi"/>
          <w:color w:val="000000" w:themeColor="text1"/>
          <w:rtl/>
        </w:rPr>
      </w:pPr>
      <w:r w:rsidRPr="00157399">
        <w:rPr>
          <w:rFonts w:asciiTheme="minorHAnsi" w:hAnsiTheme="minorHAnsi" w:cstheme="minorHAnsi"/>
          <w:color w:val="000000" w:themeColor="text1"/>
          <w:rtl/>
        </w:rPr>
        <w:tab/>
      </w:r>
      <w:r w:rsidRPr="00157399">
        <w:rPr>
          <w:rFonts w:asciiTheme="minorHAnsi" w:hAnsiTheme="minorHAnsi" w:cstheme="minorHAnsi"/>
          <w:color w:val="000000" w:themeColor="text1"/>
          <w:rtl/>
        </w:rPr>
        <w:tab/>
      </w:r>
      <w:r w:rsidRPr="00157399">
        <w:rPr>
          <w:rFonts w:asciiTheme="minorHAnsi" w:hAnsiTheme="minorHAnsi" w:cstheme="minorHAnsi"/>
          <w:color w:val="000000" w:themeColor="text1"/>
          <w:rtl/>
        </w:rPr>
        <w:tab/>
      </w:r>
      <w:r w:rsidRPr="00157399">
        <w:rPr>
          <w:rFonts w:asciiTheme="minorHAnsi" w:hAnsiTheme="minorHAnsi" w:cstheme="minorHAnsi"/>
          <w:color w:val="000000" w:themeColor="text1"/>
          <w:rtl/>
        </w:rPr>
        <w:tab/>
      </w:r>
      <w:r w:rsidRPr="00157399">
        <w:rPr>
          <w:rFonts w:asciiTheme="minorHAnsi" w:hAnsiTheme="minorHAnsi" w:cstheme="minorHAnsi"/>
          <w:color w:val="000000" w:themeColor="text1"/>
          <w:rtl/>
        </w:rPr>
        <w:tab/>
      </w:r>
      <w:r w:rsidRPr="00157399">
        <w:rPr>
          <w:rFonts w:asciiTheme="minorHAnsi" w:hAnsiTheme="minorHAnsi" w:cstheme="minorHAnsi"/>
          <w:color w:val="000000" w:themeColor="text1"/>
          <w:rtl/>
        </w:rPr>
        <w:tab/>
      </w:r>
      <w:r w:rsidRPr="00157399">
        <w:rPr>
          <w:rFonts w:asciiTheme="minorHAnsi" w:hAnsiTheme="minorHAnsi" w:cstheme="minorHAnsi"/>
          <w:color w:val="000000" w:themeColor="text1"/>
          <w:rtl/>
        </w:rPr>
        <w:tab/>
      </w:r>
      <w:r w:rsidRPr="00157399">
        <w:rPr>
          <w:rFonts w:asciiTheme="minorHAnsi" w:hAnsiTheme="minorHAnsi" w:cstheme="minorHAnsi"/>
          <w:color w:val="000000" w:themeColor="text1"/>
          <w:rtl/>
        </w:rPr>
        <w:tab/>
      </w:r>
    </w:p>
    <w:p w14:paraId="40F73371" w14:textId="77777777" w:rsidR="00CF35EA" w:rsidRPr="0082067D" w:rsidRDefault="003E40A5" w:rsidP="00370B97">
      <w:pPr>
        <w:bidi/>
        <w:spacing w:before="240" w:after="240" w:line="320" w:lineRule="exact"/>
        <w:ind w:left="5040"/>
        <w:jc w:val="both"/>
        <w:rPr>
          <w:rFonts w:asciiTheme="minorHAnsi" w:hAnsiTheme="minorHAnsi" w:cstheme="minorHAnsi"/>
          <w:color w:val="000000" w:themeColor="text1"/>
          <w:rtl/>
        </w:rPr>
      </w:pPr>
      <w:r w:rsidRPr="0082067D">
        <w:rPr>
          <w:rFonts w:asciiTheme="minorHAnsi" w:hAnsiTheme="minorHAnsi" w:cstheme="minorHAnsi"/>
          <w:color w:val="000000" w:themeColor="text1"/>
          <w:rtl/>
        </w:rPr>
        <w:t>בכבוד רב ובברכה,</w:t>
      </w:r>
    </w:p>
    <w:p w14:paraId="667D3F1B" w14:textId="77777777" w:rsidR="003E40A5" w:rsidRPr="0082067D" w:rsidRDefault="003E40A5" w:rsidP="0082067D">
      <w:pPr>
        <w:bidi/>
        <w:spacing w:before="240" w:after="240" w:line="320" w:lineRule="exact"/>
        <w:ind w:left="5760"/>
        <w:jc w:val="both"/>
        <w:rPr>
          <w:rFonts w:asciiTheme="minorHAnsi" w:hAnsiTheme="minorHAnsi" w:cstheme="minorHAnsi"/>
          <w:color w:val="000000" w:themeColor="text1"/>
          <w:rtl/>
        </w:rPr>
      </w:pPr>
      <w:r w:rsidRPr="0082067D">
        <w:rPr>
          <w:rFonts w:asciiTheme="minorHAnsi" w:hAnsiTheme="minorHAnsi" w:cstheme="minorHAnsi"/>
          <w:color w:val="000000" w:themeColor="text1"/>
          <w:rtl/>
        </w:rPr>
        <w:t>עו״ד לימור שמרלינג מגזניק</w:t>
      </w:r>
    </w:p>
    <w:p w14:paraId="6DEACC77" w14:textId="77777777" w:rsidR="00BE2411" w:rsidRPr="0082067D" w:rsidRDefault="003E40A5" w:rsidP="0082067D">
      <w:pPr>
        <w:bidi/>
        <w:spacing w:before="240" w:after="240" w:line="320" w:lineRule="exact"/>
        <w:ind w:left="5760"/>
        <w:jc w:val="both"/>
        <w:rPr>
          <w:rFonts w:asciiTheme="minorHAnsi" w:hAnsiTheme="minorHAnsi" w:cstheme="minorHAnsi"/>
          <w:color w:val="000000" w:themeColor="text1"/>
          <w:rtl/>
        </w:rPr>
      </w:pPr>
      <w:r w:rsidRPr="0082067D">
        <w:rPr>
          <w:rFonts w:asciiTheme="minorHAnsi" w:hAnsiTheme="minorHAnsi" w:cstheme="minorHAnsi"/>
          <w:color w:val="000000" w:themeColor="text1"/>
          <w:rtl/>
        </w:rPr>
        <w:t>מנהלת המכון הישראלי למדיניות טכנולוגי</w:t>
      </w:r>
      <w:r w:rsidRPr="0082067D">
        <w:rPr>
          <w:rFonts w:asciiTheme="minorHAnsi" w:hAnsiTheme="minorHAnsi" w:cstheme="minorHAnsi" w:hint="cs"/>
          <w:color w:val="000000" w:themeColor="text1"/>
          <w:rtl/>
        </w:rPr>
        <w:t>ה</w:t>
      </w:r>
    </w:p>
    <w:sectPr w:rsidR="00BE2411" w:rsidRPr="0082067D" w:rsidSect="00424FC7">
      <w:headerReference w:type="even" r:id="rId9"/>
      <w:headerReference w:type="default" r:id="rId10"/>
      <w:footerReference w:type="even" r:id="rId11"/>
      <w:footerReference w:type="default" r:id="rId12"/>
      <w:pgSz w:w="11907" w:h="16839" w:code="9"/>
      <w:pgMar w:top="1440" w:right="828" w:bottom="1440" w:left="1440" w:header="79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EECA" w14:textId="77777777" w:rsidR="00B10F33" w:rsidRDefault="00B10F33" w:rsidP="006338E6">
      <w:r>
        <w:separator/>
      </w:r>
    </w:p>
  </w:endnote>
  <w:endnote w:type="continuationSeparator" w:id="0">
    <w:p w14:paraId="4E734CC0" w14:textId="77777777" w:rsidR="00B10F33" w:rsidRDefault="00B10F33" w:rsidP="0063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Adobe">
    <w:panose1 w:val="020B0604020202020204"/>
    <w:charset w:val="B1"/>
    <w:family w:val="roman"/>
    <w:pitch w:val="variable"/>
    <w:sig w:usb0="8000086F" w:usb1="4000204A"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0336027"/>
      <w:docPartObj>
        <w:docPartGallery w:val="Page Numbers (Bottom of Page)"/>
        <w:docPartUnique/>
      </w:docPartObj>
    </w:sdtPr>
    <w:sdtEndPr>
      <w:rPr>
        <w:rStyle w:val="PageNumber"/>
      </w:rPr>
    </w:sdtEndPr>
    <w:sdtContent>
      <w:p w14:paraId="51A699F9" w14:textId="77777777" w:rsidR="00BE6946" w:rsidRDefault="00BE6946" w:rsidP="001F2C6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6DB4CD" w14:textId="77777777" w:rsidR="00BE6946" w:rsidRDefault="00BE6946" w:rsidP="00BE694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9547665"/>
      <w:docPartObj>
        <w:docPartGallery w:val="Page Numbers (Bottom of Page)"/>
        <w:docPartUnique/>
      </w:docPartObj>
    </w:sdtPr>
    <w:sdtEndPr>
      <w:rPr>
        <w:rStyle w:val="PageNumber"/>
      </w:rPr>
    </w:sdtEndPr>
    <w:sdtContent>
      <w:p w14:paraId="506CF301" w14:textId="77777777" w:rsidR="00BE6946" w:rsidRDefault="00BE6946" w:rsidP="001F2C6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B33B6F" w14:textId="77777777" w:rsidR="00157399" w:rsidRDefault="00157399" w:rsidP="00BE6946">
    <w:pPr>
      <w:tabs>
        <w:tab w:val="left" w:pos="1987"/>
      </w:tabs>
      <w:adjustRightInd w:val="0"/>
      <w:ind w:firstLine="360"/>
      <w:rPr>
        <w:rFonts w:ascii="Calibri" w:hAnsi="Calibri"/>
        <w:noProof/>
        <w:color w:val="4D4D4D" w:themeColor="accent6"/>
        <w:sz w:val="20"/>
        <w:szCs w:val="20"/>
      </w:rPr>
    </w:pPr>
    <w:r>
      <w:rPr>
        <w:rFonts w:asciiTheme="majorHAnsi" w:hAnsiTheme="majorHAnsi" w:cstheme="majorHAnsi"/>
        <w:noProof/>
        <w:color w:val="000000" w:themeColor="text1"/>
        <w:spacing w:val="10"/>
        <w:sz w:val="20"/>
        <w:szCs w:val="20"/>
      </w:rPr>
      <mc:AlternateContent>
        <mc:Choice Requires="wps">
          <w:drawing>
            <wp:anchor distT="0" distB="0" distL="114300" distR="114300" simplePos="0" relativeHeight="251657216" behindDoc="0" locked="0" layoutInCell="1" allowOverlap="1" wp14:anchorId="7C23B36B" wp14:editId="1C894529">
              <wp:simplePos x="0" y="0"/>
              <wp:positionH relativeFrom="column">
                <wp:posOffset>162560</wp:posOffset>
              </wp:positionH>
              <wp:positionV relativeFrom="paragraph">
                <wp:posOffset>57005</wp:posOffset>
              </wp:positionV>
              <wp:extent cx="7080739" cy="45719"/>
              <wp:effectExtent l="0" t="0" r="6350" b="5715"/>
              <wp:wrapNone/>
              <wp:docPr id="33" name="Rectangle 33"/>
              <wp:cNvGraphicFramePr/>
              <a:graphic xmlns:a="http://schemas.openxmlformats.org/drawingml/2006/main">
                <a:graphicData uri="http://schemas.microsoft.com/office/word/2010/wordprocessingShape">
                  <wps:wsp>
                    <wps:cNvSpPr/>
                    <wps:spPr>
                      <a:xfrm>
                        <a:off x="0" y="0"/>
                        <a:ext cx="7080739" cy="45719"/>
                      </a:xfrm>
                      <a:prstGeom prst="rect">
                        <a:avLst/>
                      </a:prstGeom>
                      <a:gradFill>
                        <a:gsLst>
                          <a:gs pos="0">
                            <a:srgbClr val="007DC5"/>
                          </a:gs>
                          <a:gs pos="99000">
                            <a:srgbClr val="263B97"/>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83C44" id="Rectangle 33" o:spid="_x0000_s1026" style="position:absolute;margin-left:12.8pt;margin-top:4.5pt;width:557.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" fillcolor="#007dc5" stroked="f" strokeweight="1pt">
              <v:fill color2="#263b97" angle="90" colors="0 #007dc5;64881f #263b97" focus="100%" type="gradient">
                <o:fill v:ext="view" type="gradientUnscaled"/>
              </v:fill>
            </v:rect>
          </w:pict>
        </mc:Fallback>
      </mc:AlternateContent>
    </w:r>
  </w:p>
  <w:p w14:paraId="3CFC1BDE" w14:textId="77777777" w:rsidR="00157399" w:rsidRDefault="00157399" w:rsidP="001D448B">
    <w:pPr>
      <w:adjustRightInd w:val="0"/>
      <w:spacing w:line="48" w:lineRule="auto"/>
      <w:rPr>
        <w:rFonts w:ascii="Calibri" w:hAnsi="Calibri"/>
        <w:noProof/>
        <w:color w:val="4D4D4D" w:themeColor="accent6"/>
        <w:sz w:val="20"/>
        <w:szCs w:val="20"/>
      </w:rPr>
    </w:pPr>
  </w:p>
  <w:p w14:paraId="2EC5E7F2" w14:textId="77777777" w:rsidR="00157399" w:rsidRPr="00995930" w:rsidRDefault="00157399" w:rsidP="00424FC7">
    <w:pPr>
      <w:adjustRightInd w:val="0"/>
      <w:ind w:left="284"/>
      <w:rPr>
        <w:rFonts w:ascii="Calibri" w:hAnsi="Calibri"/>
        <w:color w:val="4D4D4D" w:themeColor="accent6"/>
        <w:sz w:val="20"/>
        <w:szCs w:val="20"/>
      </w:rPr>
    </w:pPr>
    <w:r>
      <w:rPr>
        <w:rFonts w:ascii="Calibri" w:hAnsi="Calibri"/>
        <w:noProof/>
        <w:color w:val="4D4D4D" w:themeColor="accent6"/>
        <w:sz w:val="20"/>
        <w:szCs w:val="20"/>
      </w:rPr>
      <w:t xml:space="preserve">74-76 </w:t>
    </w:r>
    <w:r w:rsidRPr="00995930">
      <w:rPr>
        <w:rFonts w:ascii="Calibri" w:hAnsi="Calibri"/>
        <w:noProof/>
        <w:color w:val="4D4D4D" w:themeColor="accent6"/>
        <w:sz w:val="20"/>
        <w:szCs w:val="20"/>
      </w:rPr>
      <w:t xml:space="preserve">Rothschild Blvd, </w:t>
    </w:r>
    <w:r>
      <w:rPr>
        <w:rFonts w:ascii="Calibri" w:hAnsi="Calibri"/>
        <w:noProof/>
        <w:color w:val="4D4D4D" w:themeColor="accent6"/>
        <w:sz w:val="20"/>
        <w:szCs w:val="20"/>
      </w:rPr>
      <w:t>5</w:t>
    </w:r>
    <w:r w:rsidRPr="0067746F">
      <w:rPr>
        <w:rFonts w:ascii="Calibri" w:hAnsi="Calibri"/>
        <w:noProof/>
        <w:color w:val="4D4D4D" w:themeColor="accent6"/>
        <w:sz w:val="20"/>
        <w:szCs w:val="20"/>
        <w:vertAlign w:val="superscript"/>
      </w:rPr>
      <w:t>th</w:t>
    </w:r>
    <w:r>
      <w:rPr>
        <w:rFonts w:ascii="Calibri" w:hAnsi="Calibri"/>
        <w:noProof/>
        <w:color w:val="4D4D4D" w:themeColor="accent6"/>
        <w:sz w:val="20"/>
        <w:szCs w:val="20"/>
      </w:rPr>
      <w:t xml:space="preserve"> floor, </w:t>
    </w:r>
    <w:r w:rsidRPr="00995930">
      <w:rPr>
        <w:rFonts w:ascii="Calibri" w:hAnsi="Calibri"/>
        <w:noProof/>
        <w:color w:val="4D4D4D" w:themeColor="accent6"/>
        <w:sz w:val="20"/>
        <w:szCs w:val="20"/>
      </w:rPr>
      <w:t>Tel</w:t>
    </w:r>
    <w:r>
      <w:rPr>
        <w:rFonts w:ascii="Calibri" w:hAnsi="Calibri"/>
        <w:noProof/>
        <w:color w:val="4D4D4D" w:themeColor="accent6"/>
        <w:sz w:val="20"/>
        <w:szCs w:val="20"/>
      </w:rPr>
      <w:t>-</w:t>
    </w:r>
    <w:r w:rsidRPr="00995930">
      <w:rPr>
        <w:rFonts w:ascii="Calibri" w:hAnsi="Calibri"/>
        <w:noProof/>
        <w:color w:val="4D4D4D" w:themeColor="accent6"/>
        <w:sz w:val="20"/>
        <w:szCs w:val="20"/>
      </w:rPr>
      <w:t xml:space="preserve">Aviv </w:t>
    </w:r>
    <w:r w:rsidRPr="00995930">
      <w:rPr>
        <w:rFonts w:ascii="Calibri" w:hAnsi="Calibri"/>
        <w:color w:val="4D4D4D" w:themeColor="accent6"/>
        <w:sz w:val="20"/>
        <w:szCs w:val="20"/>
      </w:rPr>
      <w:t>6521401 ISRAEL</w:t>
    </w:r>
    <w:r>
      <w:rPr>
        <w:rFonts w:ascii="Calibri" w:hAnsi="Calibri"/>
        <w:color w:val="4D4D4D" w:themeColor="accent6"/>
        <w:sz w:val="20"/>
        <w:szCs w:val="20"/>
      </w:rPr>
      <w:t xml:space="preserve"> </w:t>
    </w:r>
  </w:p>
  <w:p w14:paraId="795FEFA6" w14:textId="77777777" w:rsidR="00157399" w:rsidRPr="00995930" w:rsidRDefault="00157399" w:rsidP="00424FC7">
    <w:pPr>
      <w:adjustRightInd w:val="0"/>
      <w:ind w:left="284"/>
      <w:rPr>
        <w:rFonts w:ascii="Calibri" w:hAnsi="Calibri"/>
        <w:color w:val="4D4D4D" w:themeColor="accent6"/>
        <w:sz w:val="20"/>
        <w:szCs w:val="20"/>
      </w:rPr>
    </w:pPr>
    <w:r w:rsidRPr="00995930">
      <w:rPr>
        <w:rFonts w:ascii="Calibri" w:hAnsi="Calibri"/>
        <w:color w:val="4D4D4D" w:themeColor="accent6"/>
        <w:sz w:val="20"/>
        <w:szCs w:val="20"/>
      </w:rPr>
      <w:t>Phone + 972 50 6217842</w:t>
    </w:r>
  </w:p>
  <w:p w14:paraId="7079B11B" w14:textId="77777777" w:rsidR="00157399" w:rsidRPr="001D448B" w:rsidRDefault="00B10F33" w:rsidP="001D448B">
    <w:pPr>
      <w:spacing w:line="216" w:lineRule="auto"/>
      <w:ind w:left="284"/>
      <w:rPr>
        <w:rFonts w:ascii="Calibri" w:hAnsi="Calibri"/>
        <w:color w:val="0070C0"/>
        <w:sz w:val="20"/>
        <w:szCs w:val="20"/>
        <w:u w:val="single"/>
      </w:rPr>
    </w:pPr>
    <w:hyperlink r:id="rId1" w:history="1">
      <w:r w:rsidR="00157399" w:rsidRPr="000A3621">
        <w:rPr>
          <w:rStyle w:val="Hyperlink"/>
          <w:rFonts w:ascii="Helvetica" w:hAnsi="Helvetica"/>
          <w:color w:val="0070C0"/>
          <w:sz w:val="18"/>
          <w:szCs w:val="18"/>
        </w:rPr>
        <w:t>info@techpolicy.org.il</w:t>
      </w:r>
    </w:hyperlink>
    <w:r w:rsidR="00157399" w:rsidRPr="000A3621">
      <w:rPr>
        <w:rFonts w:hint="cs"/>
        <w:color w:val="0070C0"/>
        <w:rtl/>
      </w:rPr>
      <w:t xml:space="preserve"> | </w:t>
    </w:r>
    <w:hyperlink r:id="rId2" w:history="1">
      <w:r w:rsidR="00157399" w:rsidRPr="000A3621">
        <w:rPr>
          <w:rStyle w:val="Hyperlink"/>
          <w:rFonts w:ascii="Calibri" w:hAnsi="Calibri"/>
          <w:color w:val="0070C0"/>
          <w:sz w:val="20"/>
          <w:szCs w:val="20"/>
        </w:rPr>
        <w:t>www.techpolicy.org.il</w:t>
      </w:r>
    </w:hyperlink>
  </w:p>
  <w:p w14:paraId="078C581E" w14:textId="77777777" w:rsidR="00157399" w:rsidRDefault="00157399" w:rsidP="0042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30DDD" w14:textId="77777777" w:rsidR="00B10F33" w:rsidRDefault="00B10F33" w:rsidP="006338E6">
      <w:r>
        <w:separator/>
      </w:r>
    </w:p>
  </w:footnote>
  <w:footnote w:type="continuationSeparator" w:id="0">
    <w:p w14:paraId="43F06BD9" w14:textId="77777777" w:rsidR="00B10F33" w:rsidRDefault="00B10F33" w:rsidP="006338E6">
      <w:r>
        <w:continuationSeparator/>
      </w:r>
    </w:p>
  </w:footnote>
  <w:footnote w:id="1">
    <w:p w14:paraId="63B2F361" w14:textId="77777777" w:rsidR="003E40A5" w:rsidRPr="007E793E" w:rsidRDefault="003E40A5" w:rsidP="003E40A5">
      <w:pPr>
        <w:pStyle w:val="FootnoteText"/>
        <w:rPr>
          <w:rFonts w:cstheme="minorHAnsi"/>
          <w:lang w:bidi="he-IL"/>
        </w:rPr>
      </w:pPr>
      <w:r w:rsidRPr="007E793E">
        <w:rPr>
          <w:rStyle w:val="FootnoteReference"/>
          <w:rFonts w:cstheme="minorHAnsi"/>
        </w:rPr>
        <w:footnoteRef/>
      </w:r>
      <w:r w:rsidRPr="007E793E">
        <w:rPr>
          <w:rFonts w:cstheme="minorHAnsi"/>
        </w:rPr>
        <w:t xml:space="preserve"> Constitution of the World Health Organization http://apps.who.int/gb/bd/PDF/bd47/EN/constitution-en.pdf?ua=1</w:t>
      </w:r>
    </w:p>
  </w:footnote>
  <w:footnote w:id="2">
    <w:p w14:paraId="632FBDB5" w14:textId="77777777" w:rsidR="003E40A5" w:rsidRPr="007E793E" w:rsidRDefault="003E40A5" w:rsidP="003E40A5">
      <w:pPr>
        <w:pStyle w:val="FootnoteText"/>
        <w:bidi/>
        <w:rPr>
          <w:rFonts w:cstheme="minorHAnsi"/>
          <w:rtl/>
          <w:lang w:bidi="he-IL"/>
        </w:rPr>
      </w:pPr>
      <w:r w:rsidRPr="007E793E">
        <w:rPr>
          <w:rStyle w:val="FootnoteReference"/>
          <w:rFonts w:cstheme="minorHAnsi"/>
        </w:rPr>
        <w:footnoteRef/>
      </w:r>
      <w:r w:rsidRPr="007E793E">
        <w:rPr>
          <w:rFonts w:cstheme="minorHAnsi"/>
        </w:rPr>
        <w:t xml:space="preserve"> </w:t>
      </w:r>
      <w:r w:rsidRPr="007E793E">
        <w:rPr>
          <w:rFonts w:cstheme="minorHAnsi"/>
          <w:rtl/>
          <w:lang w:bidi="he-IL"/>
        </w:rPr>
        <w:t xml:space="preserve"> בג״ץ 3071/05 </w:t>
      </w:r>
      <w:r w:rsidRPr="007E793E">
        <w:rPr>
          <w:rFonts w:cstheme="minorHAnsi"/>
          <w:b/>
          <w:bCs/>
          <w:rtl/>
          <w:lang w:bidi="he-IL"/>
        </w:rPr>
        <w:t>לוזון נ׳ ממשלת ישראל</w:t>
      </w:r>
      <w:r w:rsidRPr="007E793E">
        <w:rPr>
          <w:rFonts w:cstheme="minorHAnsi"/>
          <w:rtl/>
          <w:lang w:bidi="he-IL"/>
        </w:rPr>
        <w:t>, פ״ד סג(1) 1 (2008)</w:t>
      </w:r>
    </w:p>
  </w:footnote>
  <w:footnote w:id="3">
    <w:p w14:paraId="398DB10E" w14:textId="77777777" w:rsidR="003E40A5" w:rsidRPr="007E793E" w:rsidRDefault="003E40A5" w:rsidP="003E40A5">
      <w:pPr>
        <w:pStyle w:val="FootnoteText"/>
        <w:bidi/>
        <w:rPr>
          <w:rFonts w:cstheme="minorHAnsi"/>
          <w:rtl/>
          <w:lang w:bidi="he-IL"/>
        </w:rPr>
      </w:pPr>
      <w:r w:rsidRPr="007E793E">
        <w:rPr>
          <w:rStyle w:val="FootnoteReference"/>
          <w:rFonts w:cstheme="minorHAnsi"/>
        </w:rPr>
        <w:footnoteRef/>
      </w:r>
      <w:r w:rsidRPr="007E793E">
        <w:rPr>
          <w:rFonts w:cstheme="minorHAnsi"/>
        </w:rPr>
        <w:t xml:space="preserve"> </w:t>
      </w:r>
      <w:r w:rsidRPr="007E793E">
        <w:rPr>
          <w:rFonts w:cstheme="minorHAnsi"/>
          <w:rtl/>
          <w:lang w:bidi="he-IL"/>
        </w:rPr>
        <w:t>חוזר מנכ״ל 15/06 תת ועדת הלסינקי לאישור מחקר שאינו ניסוי רפואי בבני אדם (06.06.06)</w:t>
      </w:r>
    </w:p>
  </w:footnote>
  <w:footnote w:id="4">
    <w:p w14:paraId="0BCE39EF" w14:textId="77777777" w:rsidR="003E40A5" w:rsidRPr="007E793E" w:rsidRDefault="003E40A5" w:rsidP="003E40A5">
      <w:pPr>
        <w:pStyle w:val="FootnoteText"/>
        <w:rPr>
          <w:rFonts w:cstheme="minorHAnsi"/>
        </w:rPr>
      </w:pPr>
      <w:r w:rsidRPr="007E793E">
        <w:rPr>
          <w:rStyle w:val="FootnoteReference"/>
          <w:rFonts w:cstheme="minorHAnsi"/>
        </w:rPr>
        <w:footnoteRef/>
      </w:r>
      <w:r w:rsidRPr="007E793E">
        <w:rPr>
          <w:rFonts w:cstheme="minorHAnsi"/>
        </w:rPr>
        <w:t xml:space="preserve">  Charles Auffray et al., Making sense of big data in health research: Towards an EU action plan, Genome Medicine 8:71 (2016).  </w:t>
      </w:r>
    </w:p>
  </w:footnote>
  <w:footnote w:id="5">
    <w:p w14:paraId="0191431F" w14:textId="77777777" w:rsidR="003E40A5" w:rsidRPr="007E793E" w:rsidRDefault="003E40A5" w:rsidP="003E40A5">
      <w:pPr>
        <w:pStyle w:val="FootnoteText"/>
        <w:rPr>
          <w:rFonts w:cstheme="minorHAnsi"/>
        </w:rPr>
      </w:pPr>
      <w:r w:rsidRPr="007E793E">
        <w:rPr>
          <w:rStyle w:val="FootnoteReference"/>
          <w:rFonts w:cstheme="minorHAnsi"/>
        </w:rPr>
        <w:footnoteRef/>
      </w:r>
      <w:r w:rsidRPr="007E793E">
        <w:rPr>
          <w:rFonts w:cstheme="minorHAnsi"/>
        </w:rPr>
        <w:t xml:space="preserve">  Stuart A. Scott, Personalizing medicine with clinical pharmacogenetics, Genet Med. 13(12), 987-995 (2011).  </w:t>
      </w:r>
    </w:p>
  </w:footnote>
  <w:footnote w:id="6">
    <w:p w14:paraId="3CC89FB4" w14:textId="77777777" w:rsidR="003E40A5" w:rsidRPr="007E793E" w:rsidRDefault="003E40A5" w:rsidP="003E40A5">
      <w:pPr>
        <w:pStyle w:val="FootnoteText"/>
        <w:rPr>
          <w:rFonts w:cstheme="minorHAnsi"/>
        </w:rPr>
      </w:pPr>
      <w:r w:rsidRPr="007E793E">
        <w:rPr>
          <w:rStyle w:val="FootnoteReference"/>
          <w:rFonts w:cstheme="minorHAnsi"/>
        </w:rPr>
        <w:footnoteRef/>
      </w:r>
      <w:r w:rsidRPr="007E793E">
        <w:rPr>
          <w:rFonts w:cstheme="minorHAnsi"/>
        </w:rPr>
        <w:t xml:space="preserve">  Wullianallur Raghupathi, Viju Raghupathi, big data analytics in healthcare: promise and potential, Health Information Science and Systems 2:3 (2014).  </w:t>
      </w:r>
    </w:p>
  </w:footnote>
  <w:footnote w:id="7">
    <w:p w14:paraId="77A39301" w14:textId="77777777" w:rsidR="003E40A5" w:rsidRPr="005752C8" w:rsidRDefault="003E40A5" w:rsidP="003E40A5">
      <w:pPr>
        <w:pStyle w:val="FootnoteText"/>
        <w:rPr>
          <w:rFonts w:cstheme="minorHAnsi"/>
        </w:rPr>
      </w:pPr>
      <w:r w:rsidRPr="007E793E">
        <w:rPr>
          <w:rStyle w:val="FootnoteReference"/>
          <w:rFonts w:cstheme="minorHAnsi"/>
        </w:rPr>
        <w:footnoteRef/>
      </w:r>
      <w:r w:rsidRPr="007E793E">
        <w:rPr>
          <w:rFonts w:cstheme="minorHAnsi"/>
        </w:rPr>
        <w:t xml:space="preserve">  Back in the year 2011, a report of the McKinsey Global Institute estimated the value big data could potentially create in the U.S. healthcare system alone to over $300 billion per year with more than one third coming from cost reductions. See J. Manyika, M. Chui, B. Brown et al., big data: The Next Frontier for Innovation, Competition, and Productivity, McKinsey Global Institute, (2011), </w:t>
      </w:r>
      <w:hyperlink r:id="rId1" w:history="1">
        <w:r w:rsidRPr="005752C8">
          <w:rPr>
            <w:rStyle w:val="Hyperlink"/>
            <w:rFonts w:cstheme="minorHAnsi"/>
            <w:color w:val="auto"/>
            <w:u w:val="none"/>
          </w:rPr>
          <w:t>https://www.mckinsey.com/~/media/mckinsey/business%20functions/mckinsey%20digital/our%20insights/big%20data%20the%20next%20frontier%20for%20innovation/mgi_big_data_exec_summary.ashx</w:t>
        </w:r>
      </w:hyperlink>
      <w:r w:rsidRPr="005752C8">
        <w:rPr>
          <w:rFonts w:cstheme="minorHAnsi"/>
        </w:rPr>
        <w:t>.</w:t>
      </w:r>
    </w:p>
  </w:footnote>
  <w:footnote w:id="8">
    <w:p w14:paraId="594B9821" w14:textId="77777777" w:rsidR="003E40A5" w:rsidRPr="007E793E" w:rsidRDefault="003E40A5" w:rsidP="003E40A5">
      <w:pPr>
        <w:pStyle w:val="FootnoteText"/>
        <w:rPr>
          <w:rFonts w:cstheme="minorHAnsi"/>
          <w:lang w:bidi="he-IL"/>
        </w:rPr>
      </w:pPr>
      <w:r w:rsidRPr="007E793E">
        <w:rPr>
          <w:rStyle w:val="FootnoteReference"/>
          <w:rFonts w:cstheme="minorHAnsi"/>
        </w:rPr>
        <w:footnoteRef/>
      </w:r>
      <w:r w:rsidRPr="007E793E">
        <w:rPr>
          <w:rFonts w:cstheme="minorHAnsi"/>
        </w:rPr>
        <w:t xml:space="preserve">  Stephen Naylor, Jake Y Chen, </w:t>
      </w:r>
      <w:r w:rsidRPr="007E793E">
        <w:rPr>
          <w:rFonts w:cstheme="minorHAnsi"/>
          <w:i/>
          <w:iCs/>
        </w:rPr>
        <w:t>Unraveling human complexity and disease with systems biology and personalized medicine</w:t>
      </w:r>
      <w:r w:rsidRPr="007E793E">
        <w:rPr>
          <w:rFonts w:cstheme="minorHAnsi"/>
        </w:rPr>
        <w:t xml:space="preserve">, Personalized Medicine 7 (3), 275-289 (2010).  </w:t>
      </w:r>
    </w:p>
  </w:footnote>
  <w:footnote w:id="9">
    <w:p w14:paraId="4418131D" w14:textId="77777777" w:rsidR="003E40A5" w:rsidRPr="007E793E" w:rsidRDefault="003E40A5" w:rsidP="003E40A5">
      <w:pPr>
        <w:pStyle w:val="FootnoteText"/>
        <w:rPr>
          <w:rFonts w:cstheme="minorHAnsi"/>
          <w:lang w:bidi="he-IL"/>
        </w:rPr>
      </w:pPr>
      <w:r w:rsidRPr="007E793E">
        <w:rPr>
          <w:rStyle w:val="FootnoteReference"/>
          <w:rFonts w:cstheme="minorHAnsi"/>
        </w:rPr>
        <w:footnoteRef/>
      </w:r>
      <w:r w:rsidRPr="007E793E">
        <w:rPr>
          <w:rFonts w:cstheme="minorHAnsi"/>
        </w:rPr>
        <w:t xml:space="preserve">  William Nicholson Price II., </w:t>
      </w:r>
      <w:r w:rsidRPr="007E793E">
        <w:rPr>
          <w:rFonts w:cstheme="minorHAnsi"/>
          <w:i/>
          <w:iCs/>
        </w:rPr>
        <w:t>big data, Patents, and the Future of Medicine</w:t>
      </w:r>
      <w:r w:rsidRPr="007E793E">
        <w:rPr>
          <w:rFonts w:cstheme="minorHAnsi"/>
        </w:rPr>
        <w:t xml:space="preserve">, 37 Cardozo Law Review, 1401-1454 (2016), names precision medicine as an opportunity to " potentially save billions in wasted or inappropriate medical care".  </w:t>
      </w:r>
    </w:p>
  </w:footnote>
  <w:footnote w:id="10">
    <w:p w14:paraId="6AA2134D" w14:textId="77777777" w:rsidR="003E40A5" w:rsidRPr="00692922" w:rsidRDefault="003E40A5" w:rsidP="003E40A5">
      <w:pPr>
        <w:pStyle w:val="FootnoteText"/>
        <w:rPr>
          <w:rFonts w:cstheme="minorHAnsi"/>
        </w:rPr>
      </w:pPr>
      <w:r w:rsidRPr="007E793E">
        <w:rPr>
          <w:rStyle w:val="FootnoteReference"/>
          <w:rFonts w:cstheme="minorHAnsi"/>
        </w:rPr>
        <w:footnoteRef/>
      </w:r>
      <w:r w:rsidRPr="007E793E">
        <w:rPr>
          <w:rFonts w:cstheme="minorHAnsi"/>
        </w:rPr>
        <w:t xml:space="preserve"> </w:t>
      </w:r>
      <w:r w:rsidRPr="007E793E">
        <w:rPr>
          <w:rFonts w:cstheme="minorHAnsi"/>
          <w:rtl/>
          <w:lang w:bidi="he-IL"/>
        </w:rPr>
        <w:t xml:space="preserve"> </w:t>
      </w:r>
      <w:r w:rsidRPr="00692922">
        <w:rPr>
          <w:rFonts w:cstheme="minorHAnsi"/>
        </w:rPr>
        <w:t>Yaniv Erlich, Tal Shor, Itsik Pe’er, Shai Carmi</w:t>
      </w:r>
      <w:r>
        <w:rPr>
          <w:rFonts w:cstheme="minorHAnsi"/>
        </w:rPr>
        <w:t xml:space="preserve">, </w:t>
      </w:r>
      <w:r w:rsidRPr="00692922">
        <w:rPr>
          <w:rFonts w:cstheme="minorHAnsi"/>
          <w:i/>
          <w:iCs/>
        </w:rPr>
        <w:t>Identity inference of genomic data using long-range familial searches</w:t>
      </w:r>
    </w:p>
    <w:p w14:paraId="66CB7405" w14:textId="77777777" w:rsidR="003E40A5" w:rsidRPr="007E793E" w:rsidRDefault="003E40A5" w:rsidP="003E40A5">
      <w:pPr>
        <w:pStyle w:val="FootnoteText"/>
        <w:rPr>
          <w:rFonts w:cstheme="minorHAnsi"/>
        </w:rPr>
      </w:pPr>
      <w:r w:rsidRPr="00692922">
        <w:rPr>
          <w:rFonts w:cstheme="minorHAnsi"/>
        </w:rPr>
        <w:t>Science</w:t>
      </w:r>
      <w:r>
        <w:rPr>
          <w:rFonts w:cstheme="minorHAnsi"/>
        </w:rPr>
        <w:t>,</w:t>
      </w:r>
      <w:r w:rsidRPr="00692922">
        <w:rPr>
          <w:rFonts w:cstheme="minorHAnsi"/>
        </w:rPr>
        <w:t xml:space="preserve"> 11 Oct 2018:</w:t>
      </w:r>
      <w:r>
        <w:rPr>
          <w:rFonts w:cstheme="minorHAnsi"/>
        </w:rPr>
        <w:t xml:space="preserve"> </w:t>
      </w:r>
      <w:r w:rsidRPr="00692922">
        <w:rPr>
          <w:rFonts w:cstheme="minorHAnsi"/>
        </w:rPr>
        <w:t>DOI: 10.1126/science.aau4832</w:t>
      </w:r>
      <w:r>
        <w:rPr>
          <w:rFonts w:cstheme="minorHAnsi"/>
        </w:rPr>
        <w:t xml:space="preserve">; </w:t>
      </w:r>
      <w:r w:rsidRPr="00692922">
        <w:rPr>
          <w:rFonts w:cstheme="minorHAnsi"/>
        </w:rPr>
        <w:t>http://science.sciencemag.org/content/early/2018/10/10/science.aau4832</w:t>
      </w:r>
    </w:p>
  </w:footnote>
  <w:footnote w:id="11">
    <w:p w14:paraId="262ED81B" w14:textId="77777777" w:rsidR="003E40A5" w:rsidRPr="00692922" w:rsidRDefault="003E40A5" w:rsidP="003E40A5">
      <w:pPr>
        <w:pStyle w:val="FootnoteText"/>
        <w:rPr>
          <w:rFonts w:cstheme="minorHAnsi"/>
        </w:rPr>
      </w:pPr>
      <w:r w:rsidRPr="007E793E">
        <w:rPr>
          <w:rStyle w:val="FootnoteReference"/>
          <w:rFonts w:cstheme="minorHAnsi"/>
        </w:rPr>
        <w:footnoteRef/>
      </w:r>
      <w:r w:rsidRPr="007E793E">
        <w:rPr>
          <w:rFonts w:cstheme="minorHAnsi"/>
        </w:rPr>
        <w:t xml:space="preserve">  Tim Mullahy, Privacy Law Is Growing More Extensive – Here’s What That Means For Healthcare, Tripwire (3/14/2019, 11:59 PM), </w:t>
      </w:r>
      <w:hyperlink r:id="rId2" w:history="1">
        <w:r w:rsidRPr="00692922">
          <w:rPr>
            <w:rStyle w:val="Hyperlink"/>
            <w:rFonts w:cstheme="minorHAnsi"/>
            <w:color w:val="auto"/>
            <w:u w:val="none"/>
          </w:rPr>
          <w:t>https://www.tripwire.com/state-of-security/healthcare/privacy-law-healthcare/</w:t>
        </w:r>
      </w:hyperlink>
      <w:r w:rsidRPr="00692922">
        <w:rPr>
          <w:rFonts w:cstheme="minorHAnsi"/>
        </w:rPr>
        <w:t>.</w:t>
      </w:r>
    </w:p>
  </w:footnote>
  <w:footnote w:id="12">
    <w:p w14:paraId="6E255A0C" w14:textId="77777777" w:rsidR="003E40A5" w:rsidRPr="007E793E" w:rsidRDefault="003E40A5" w:rsidP="003E40A5">
      <w:pPr>
        <w:pStyle w:val="FootnoteText"/>
        <w:rPr>
          <w:rFonts w:cstheme="minorHAnsi"/>
        </w:rPr>
      </w:pPr>
      <w:r w:rsidRPr="007E793E">
        <w:rPr>
          <w:rStyle w:val="FootnoteReference"/>
          <w:rFonts w:cstheme="minorHAnsi"/>
        </w:rPr>
        <w:footnoteRef/>
      </w:r>
      <w:r w:rsidRPr="007E793E">
        <w:rPr>
          <w:rFonts w:cstheme="minorHAnsi"/>
        </w:rPr>
        <w:t xml:space="preserve">  Annie Qureshi calls a healthcare data breach "one of the most violating types of data breaches one can encounter", see </w:t>
      </w:r>
      <w:r w:rsidRPr="007E793E">
        <w:rPr>
          <w:rFonts w:cstheme="minorHAnsi"/>
          <w:i/>
          <w:iCs/>
        </w:rPr>
        <w:t xml:space="preserve">Healthcare Data Breaches: What Are the Risks? </w:t>
      </w:r>
      <w:r w:rsidRPr="007E793E">
        <w:rPr>
          <w:rFonts w:cstheme="minorHAnsi"/>
        </w:rPr>
        <w:t xml:space="preserve">(3/14/2019, 1:20 PM), https://www.healthworkscollective.com/healthcare-data-breaches-what-risks/  </w:t>
      </w:r>
    </w:p>
  </w:footnote>
  <w:footnote w:id="13">
    <w:p w14:paraId="29FC8130" w14:textId="77777777" w:rsidR="003E40A5" w:rsidRPr="007E793E" w:rsidRDefault="003E40A5" w:rsidP="003E40A5">
      <w:pPr>
        <w:pStyle w:val="FootnoteText"/>
        <w:rPr>
          <w:rFonts w:cstheme="minorHAnsi"/>
        </w:rPr>
      </w:pPr>
      <w:r w:rsidRPr="007E793E">
        <w:rPr>
          <w:rStyle w:val="FootnoteReference"/>
          <w:rFonts w:cstheme="minorHAnsi"/>
        </w:rPr>
        <w:footnoteRef/>
      </w:r>
      <w:r w:rsidRPr="007E793E">
        <w:rPr>
          <w:rFonts w:cstheme="minorHAnsi"/>
        </w:rPr>
        <w:t xml:space="preserve">  The Stanford Medicine 2017 Health Trends Report, </w:t>
      </w:r>
      <w:r w:rsidRPr="007E793E">
        <w:rPr>
          <w:rFonts w:cstheme="minorHAnsi"/>
          <w:i/>
          <w:iCs/>
        </w:rPr>
        <w:t>Harnessing the Power of Data in Health</w:t>
      </w:r>
      <w:r w:rsidRPr="007E793E">
        <w:rPr>
          <w:rFonts w:cstheme="minorHAnsi"/>
        </w:rPr>
        <w:t xml:space="preserve">, points out the potential of data for health care, see https://med.stanford.edu/content/dam/sm/sm-news/documents/StanfordMedicineHealthTrendsWhitePaper2017.pdf.  </w:t>
      </w:r>
    </w:p>
  </w:footnote>
  <w:footnote w:id="14">
    <w:p w14:paraId="56F4C79B" w14:textId="77777777" w:rsidR="003E40A5" w:rsidRPr="007E793E" w:rsidRDefault="003E40A5" w:rsidP="00B30302">
      <w:pPr>
        <w:pStyle w:val="FootnoteText"/>
        <w:jc w:val="both"/>
        <w:rPr>
          <w:rFonts w:cstheme="minorHAnsi"/>
        </w:rPr>
      </w:pPr>
      <w:r w:rsidRPr="007E793E">
        <w:rPr>
          <w:rStyle w:val="FootnoteReference"/>
          <w:rFonts w:cstheme="minorHAnsi"/>
        </w:rPr>
        <w:footnoteRef/>
      </w:r>
      <w:r w:rsidRPr="007E793E">
        <w:rPr>
          <w:rFonts w:cstheme="minorHAnsi"/>
        </w:rPr>
        <w:t xml:space="preserve">  Determann, Lothar, </w:t>
      </w:r>
      <w:r w:rsidRPr="007E793E">
        <w:rPr>
          <w:rFonts w:cstheme="minorHAnsi"/>
          <w:i/>
          <w:iCs/>
        </w:rPr>
        <w:t>Healthy Data Protection (March 21, 2019). UC Hastings Research Paper No. 349. Available at SSRN: https://ssrn.com/abstract=3357990</w:t>
      </w:r>
    </w:p>
  </w:footnote>
  <w:footnote w:id="15">
    <w:p w14:paraId="079A75DB" w14:textId="77777777" w:rsidR="003E40A5" w:rsidRPr="007E793E" w:rsidRDefault="003E40A5" w:rsidP="00B30302">
      <w:pPr>
        <w:pStyle w:val="FootnoteText"/>
        <w:bidi/>
        <w:jc w:val="both"/>
        <w:rPr>
          <w:rFonts w:cstheme="minorHAnsi"/>
          <w:rtl/>
          <w:lang w:bidi="he-IL"/>
        </w:rPr>
      </w:pPr>
      <w:r w:rsidRPr="007E793E">
        <w:rPr>
          <w:rStyle w:val="FootnoteReference"/>
          <w:rFonts w:cstheme="minorHAnsi"/>
        </w:rPr>
        <w:footnoteRef/>
      </w:r>
      <w:r w:rsidRPr="007E793E">
        <w:rPr>
          <w:rFonts w:cstheme="minorHAnsi"/>
        </w:rPr>
        <w:t xml:space="preserve"> </w:t>
      </w:r>
      <w:r w:rsidRPr="007E793E">
        <w:rPr>
          <w:rFonts w:cstheme="minorHAnsi"/>
          <w:rtl/>
          <w:lang w:bidi="he-IL"/>
        </w:rPr>
        <w:t xml:space="preserve"> בג״ץ 7052/03 </w:t>
      </w:r>
      <w:r w:rsidRPr="007E793E">
        <w:rPr>
          <w:rFonts w:cstheme="minorHAnsi"/>
          <w:b/>
          <w:bCs/>
          <w:rtl/>
          <w:lang w:bidi="he-IL"/>
        </w:rPr>
        <w:t>עדאלה המרכז המשפטי לזכויות המיעוט הערבי נ׳ שר הפנים</w:t>
      </w:r>
      <w:r w:rsidRPr="007E793E">
        <w:rPr>
          <w:rFonts w:cstheme="minorHAnsi"/>
          <w:rtl/>
          <w:lang w:bidi="he-IL"/>
        </w:rPr>
        <w:t xml:space="preserve"> פ״ד סא(2) (2002) ס׳ 3 לפס״ד השופט (כתוארו אז) גרוניס, שהינו חלק מדעת הרוב: ״התשובה להתנגשות בין שתי זכויות חוקתיות מצויה במה שמכונה לעתים ״איזון אופקי״. יתכן, שבמסגרת הבחינה של אותה התנגשות או סתירה יהא צורך להידרש למ</w:t>
      </w:r>
      <w:r w:rsidR="00B60E3D">
        <w:rPr>
          <w:rFonts w:cstheme="minorHAnsi" w:hint="cs"/>
          <w:rtl/>
          <w:lang w:bidi="he-IL"/>
        </w:rPr>
        <w:t>ב</w:t>
      </w:r>
      <w:r w:rsidRPr="007E793E">
        <w:rPr>
          <w:rFonts w:cstheme="minorHAnsi"/>
          <w:rtl/>
          <w:lang w:bidi="he-IL"/>
        </w:rPr>
        <w:t xml:space="preserve">חני מידתיות. כמובן, שאותה בחינה תוביל </w:t>
      </w:r>
      <w:r w:rsidR="00B60E3D">
        <w:rPr>
          <w:rFonts w:cstheme="minorHAnsi" w:hint="cs"/>
          <w:rtl/>
          <w:lang w:bidi="he-IL"/>
        </w:rPr>
        <w:t>ב</w:t>
      </w:r>
      <w:r w:rsidRPr="007E793E">
        <w:rPr>
          <w:rFonts w:cstheme="minorHAnsi"/>
          <w:rtl/>
          <w:lang w:bidi="he-IL"/>
        </w:rPr>
        <w:t>הכרח לצמצומה של אחת מהזכויות המתנגשות על חשבון חברתה״.</w:t>
      </w:r>
      <w:r w:rsidR="00EB1033">
        <w:rPr>
          <w:rFonts w:cstheme="minorHAnsi"/>
          <w:rtl/>
          <w:lang w:bidi="he-IL"/>
        </w:rPr>
        <w:tab/>
      </w:r>
      <w:r w:rsidR="00EB1033">
        <w:rPr>
          <w:rFonts w:cstheme="minorHAnsi"/>
          <w:rtl/>
          <w:lang w:bidi="he-IL"/>
        </w:rPr>
        <w:tab/>
      </w:r>
    </w:p>
  </w:footnote>
  <w:footnote w:id="16">
    <w:p w14:paraId="4BA7FF4A" w14:textId="77777777" w:rsidR="003E40A5" w:rsidRPr="007E793E" w:rsidRDefault="003E40A5" w:rsidP="00B30302">
      <w:pPr>
        <w:bidi/>
        <w:jc w:val="both"/>
        <w:rPr>
          <w:rFonts w:asciiTheme="minorHAnsi" w:eastAsiaTheme="minorHAnsi" w:hAnsiTheme="minorHAnsi" w:cstheme="minorHAnsi"/>
          <w:sz w:val="20"/>
          <w:szCs w:val="20"/>
        </w:rPr>
      </w:pPr>
      <w:r w:rsidRPr="007E793E">
        <w:rPr>
          <w:rStyle w:val="FootnoteReference"/>
          <w:rFonts w:asciiTheme="minorHAnsi" w:eastAsiaTheme="minorHAnsi" w:hAnsiTheme="minorHAnsi" w:cstheme="minorHAnsi"/>
          <w:sz w:val="20"/>
          <w:szCs w:val="20"/>
          <w:lang w:bidi="ar-SA"/>
        </w:rPr>
        <w:footnoteRef/>
      </w:r>
      <w:r w:rsidRPr="007E793E">
        <w:rPr>
          <w:rFonts w:asciiTheme="minorHAnsi" w:eastAsiaTheme="minorHAnsi" w:hAnsiTheme="minorHAnsi" w:cstheme="minorHAnsi"/>
          <w:sz w:val="20"/>
          <w:szCs w:val="20"/>
          <w:lang w:bidi="ar-SA"/>
        </w:rPr>
        <w:t xml:space="preserve"> </w:t>
      </w:r>
      <w:r w:rsidRPr="007E793E">
        <w:rPr>
          <w:rStyle w:val="FootnoteReference"/>
          <w:rFonts w:asciiTheme="minorHAnsi" w:eastAsiaTheme="minorHAnsi" w:hAnsiTheme="minorHAnsi" w:cstheme="minorHAnsi"/>
          <w:sz w:val="20"/>
          <w:szCs w:val="20"/>
          <w:lang w:bidi="ar-SA"/>
        </w:rPr>
        <w:t xml:space="preserve"> </w:t>
      </w:r>
      <w:r w:rsidRPr="007E793E">
        <w:rPr>
          <w:rFonts w:asciiTheme="minorHAnsi" w:hAnsiTheme="minorHAnsi" w:cstheme="minorHAnsi"/>
          <w:sz w:val="20"/>
          <w:szCs w:val="20"/>
          <w:rtl/>
        </w:rPr>
        <w:t>בג"ץ 73/53 חברת קול העם נ' שר הפנים</w:t>
      </w:r>
      <w:r w:rsidRPr="007E793E">
        <w:rPr>
          <w:rFonts w:asciiTheme="minorHAnsi" w:eastAsiaTheme="minorHAnsi" w:hAnsiTheme="minorHAnsi" w:cstheme="minorHAnsi"/>
          <w:sz w:val="20"/>
          <w:szCs w:val="20"/>
        </w:rPr>
        <w:t xml:space="preserve"> </w:t>
      </w:r>
      <w:r w:rsidRPr="007E793E">
        <w:rPr>
          <w:rFonts w:asciiTheme="minorHAnsi" w:eastAsiaTheme="minorHAnsi" w:hAnsiTheme="minorHAnsi" w:cstheme="minorHAnsi"/>
          <w:sz w:val="20"/>
          <w:szCs w:val="20"/>
          <w:rtl/>
        </w:rPr>
        <w:t>ע"א 294/91 - חברה קדישא גחש"א "קהילת ירושלים" נ' קסטנבאום, פ"ד מו(2), 464</w:t>
      </w:r>
    </w:p>
    <w:p w14:paraId="06F9A496" w14:textId="77777777" w:rsidR="003E40A5" w:rsidRPr="007E793E" w:rsidRDefault="003E40A5" w:rsidP="00B30302">
      <w:pPr>
        <w:bidi/>
        <w:jc w:val="both"/>
        <w:rPr>
          <w:rFonts w:asciiTheme="minorHAnsi" w:hAnsiTheme="minorHAnsi" w:cstheme="minorHAnsi"/>
          <w:sz w:val="20"/>
          <w:szCs w:val="20"/>
          <w:rtl/>
        </w:rPr>
      </w:pPr>
      <w:r w:rsidRPr="007E793E">
        <w:rPr>
          <w:rStyle w:val="FootnoteReference"/>
          <w:rFonts w:asciiTheme="minorHAnsi" w:eastAsiaTheme="minorHAnsi" w:hAnsiTheme="minorHAnsi" w:cstheme="minorHAnsi"/>
          <w:sz w:val="20"/>
          <w:szCs w:val="20"/>
          <w:vertAlign w:val="baseline"/>
          <w:rtl/>
        </w:rPr>
        <w:t>עא 105/92  ראם מהנדסים קבלנים בע"מ נ' עיריית נצרת עילית, פ''ד מז(5) 189, 205</w:t>
      </w:r>
      <w:r>
        <w:rPr>
          <w:rFonts w:asciiTheme="minorHAnsi" w:eastAsiaTheme="minorHAnsi" w:hAnsiTheme="minorHAnsi" w:cstheme="minorHAnsi" w:hint="cs"/>
          <w:sz w:val="20"/>
          <w:szCs w:val="20"/>
          <w:rtl/>
        </w:rPr>
        <w:t>.</w:t>
      </w:r>
    </w:p>
  </w:footnote>
  <w:footnote w:id="17">
    <w:p w14:paraId="322BB4C8" w14:textId="77777777" w:rsidR="003E40A5" w:rsidRPr="00692922" w:rsidRDefault="003E40A5" w:rsidP="00B30302">
      <w:pPr>
        <w:pStyle w:val="FootnoteText"/>
        <w:bidi/>
        <w:jc w:val="both"/>
        <w:rPr>
          <w:rFonts w:cstheme="minorHAnsi"/>
          <w:rtl/>
          <w:lang w:bidi="he-IL"/>
        </w:rPr>
      </w:pPr>
      <w:r w:rsidRPr="007E793E">
        <w:rPr>
          <w:rStyle w:val="FootnoteReference"/>
          <w:rFonts w:cstheme="minorHAnsi"/>
        </w:rPr>
        <w:footnoteRef/>
      </w:r>
      <w:r w:rsidRPr="007E793E">
        <w:rPr>
          <w:rFonts w:cstheme="minorHAnsi"/>
        </w:rPr>
        <w:t xml:space="preserve"> </w:t>
      </w:r>
      <w:r w:rsidRPr="007E793E">
        <w:rPr>
          <w:rFonts w:cstheme="minorHAnsi"/>
          <w:rtl/>
          <w:lang w:bidi="he-IL"/>
        </w:rPr>
        <w:t xml:space="preserve"> הגנת הפרטיות הינה מקצוע המעוגן בפרקטיקות ביצועיות והסמכות ע״י </w:t>
      </w:r>
      <w:hyperlink r:id="rId3" w:history="1">
        <w:r w:rsidRPr="00692922">
          <w:rPr>
            <w:rStyle w:val="Hyperlink"/>
            <w:rFonts w:cstheme="minorHAnsi"/>
            <w:color w:val="auto"/>
            <w:u w:val="none"/>
            <w:rtl/>
            <w:lang w:bidi="he-IL"/>
          </w:rPr>
          <w:t>איגוד מקצועי בינלאומי</w:t>
        </w:r>
      </w:hyperlink>
      <w:r w:rsidRPr="007E793E">
        <w:rPr>
          <w:rFonts w:cstheme="minorHAnsi"/>
          <w:rtl/>
          <w:lang w:bidi="he-IL"/>
        </w:rPr>
        <w:t xml:space="preserve"> (</w:t>
      </w:r>
      <w:r w:rsidRPr="007E793E">
        <w:rPr>
          <w:rFonts w:cstheme="minorHAnsi"/>
          <w:lang w:bidi="he-IL"/>
        </w:rPr>
        <w:t>IAPP International Association of Privacy Professionals</w:t>
      </w:r>
      <w:r w:rsidRPr="007E793E">
        <w:rPr>
          <w:rFonts w:cstheme="minorHAnsi"/>
          <w:rtl/>
          <w:lang w:bidi="he-IL"/>
        </w:rPr>
        <w:t xml:space="preserve">) הפועל מזה 20 שנה להגדרת הכשירות המקצועית של העוסקים בתחום, פיתוח מתודולוגיות העבודה, הצעת </w:t>
      </w:r>
      <w:r w:rsidRPr="00692922">
        <w:rPr>
          <w:rFonts w:cstheme="minorHAnsi"/>
          <w:rtl/>
          <w:lang w:bidi="he-IL"/>
        </w:rPr>
        <w:t>קורסי הכשרה והענקת הסמכות מקצועיות לאחר מעבר בחינות הסמכה. בארגון חברים נכון למאי 2019 50,000 חברים.</w:t>
      </w:r>
    </w:p>
  </w:footnote>
  <w:footnote w:id="18">
    <w:p w14:paraId="51C32F87" w14:textId="77777777" w:rsidR="003E40A5" w:rsidRPr="007E793E" w:rsidRDefault="003E40A5" w:rsidP="00B30302">
      <w:pPr>
        <w:pStyle w:val="NormalWeb"/>
        <w:spacing w:before="0" w:beforeAutospacing="0" w:after="0" w:afterAutospacing="0"/>
        <w:jc w:val="both"/>
        <w:rPr>
          <w:rFonts w:asciiTheme="minorHAnsi" w:hAnsiTheme="minorHAnsi" w:cstheme="minorHAnsi"/>
          <w:sz w:val="20"/>
          <w:szCs w:val="20"/>
          <w:rtl/>
        </w:rPr>
      </w:pPr>
      <w:r w:rsidRPr="00692922">
        <w:rPr>
          <w:rStyle w:val="FootnoteReference"/>
          <w:rFonts w:asciiTheme="minorHAnsi" w:hAnsiTheme="minorHAnsi" w:cstheme="minorHAnsi"/>
          <w:sz w:val="20"/>
          <w:szCs w:val="20"/>
        </w:rPr>
        <w:footnoteRef/>
      </w:r>
      <w:r w:rsidRPr="00692922">
        <w:rPr>
          <w:rFonts w:asciiTheme="minorHAnsi" w:hAnsiTheme="minorHAnsi" w:cstheme="minorHAnsi"/>
          <w:sz w:val="20"/>
          <w:szCs w:val="20"/>
        </w:rPr>
        <w:t xml:space="preserve"> </w:t>
      </w:r>
      <w:r w:rsidRPr="00692922">
        <w:rPr>
          <w:rFonts w:asciiTheme="minorHAnsi" w:hAnsiTheme="minorHAnsi" w:cstheme="minorHAnsi"/>
          <w:sz w:val="20"/>
          <w:szCs w:val="20"/>
          <w:rtl/>
        </w:rPr>
        <w:t>״</w:t>
      </w:r>
      <w:r w:rsidRPr="00692922">
        <w:rPr>
          <w:rFonts w:asciiTheme="minorHAnsi" w:hAnsiTheme="minorHAnsi" w:cstheme="minorHAnsi"/>
          <w:sz w:val="20"/>
          <w:szCs w:val="20"/>
        </w:rPr>
        <w:t>Privacy by Design The 7 Foundational Principles</w:t>
      </w:r>
      <w:r w:rsidRPr="00692922">
        <w:rPr>
          <w:rFonts w:asciiTheme="minorHAnsi" w:hAnsiTheme="minorHAnsi" w:cstheme="minorHAnsi"/>
          <w:sz w:val="20"/>
          <w:szCs w:val="20"/>
          <w:rtl/>
        </w:rPr>
        <w:t>״</w:t>
      </w:r>
      <w:r w:rsidRPr="00692922">
        <w:rPr>
          <w:rFonts w:asciiTheme="minorHAnsi" w:hAnsiTheme="minorHAnsi" w:cstheme="minorHAnsi"/>
          <w:sz w:val="20"/>
          <w:szCs w:val="20"/>
        </w:rPr>
        <w:t xml:space="preserve"> Implementation and Mapping of Fair Information Practices Ann Cavoukian, Ph.D. Information &amp; Privacy Commissioner, Ontario, Canada </w:t>
      </w:r>
      <w:hyperlink r:id="rId4" w:history="1">
        <w:r w:rsidRPr="00692922">
          <w:rPr>
            <w:rStyle w:val="Hyperlink"/>
            <w:rFonts w:asciiTheme="minorHAnsi" w:hAnsiTheme="minorHAnsi" w:cstheme="minorHAnsi"/>
            <w:color w:val="auto"/>
            <w:sz w:val="20"/>
            <w:szCs w:val="20"/>
            <w:u w:val="none"/>
          </w:rPr>
          <w:t>https://iab.org/wp-content/IAB-uploads/2011/03/fred_carter.pdf</w:t>
        </w:r>
      </w:hyperlink>
    </w:p>
  </w:footnote>
  <w:footnote w:id="19">
    <w:p w14:paraId="480323D6" w14:textId="77777777" w:rsidR="00F278C1" w:rsidRPr="00F278C1" w:rsidRDefault="00F278C1" w:rsidP="00F278C1">
      <w:pPr>
        <w:rPr>
          <w:rFonts w:asciiTheme="minorHAnsi" w:hAnsiTheme="minorHAnsi" w:cstheme="minorHAnsi"/>
          <w:sz w:val="20"/>
          <w:szCs w:val="20"/>
          <w:rtl/>
        </w:rPr>
      </w:pPr>
      <w:r>
        <w:rPr>
          <w:rStyle w:val="FootnoteReference"/>
        </w:rPr>
        <w:footnoteRef/>
      </w:r>
      <w:r>
        <w:t xml:space="preserve"> </w:t>
      </w:r>
      <w:r w:rsidRPr="00F278C1">
        <w:rPr>
          <w:rFonts w:asciiTheme="minorHAnsi" w:hAnsiTheme="minorHAnsi" w:cstheme="minorHAnsi"/>
          <w:sz w:val="20"/>
          <w:szCs w:val="20"/>
        </w:rPr>
        <w:t>General Data Protection Regulation (EU) 2016/679 (GDPR)</w:t>
      </w:r>
      <w:r>
        <w:rPr>
          <w:rFonts w:asciiTheme="minorHAnsi" w:hAnsiTheme="minorHAnsi" w:cstheme="minorHAnsi"/>
          <w:sz w:val="20"/>
          <w:szCs w:val="20"/>
        </w:rPr>
        <w:t xml:space="preserve"> Article 25</w:t>
      </w:r>
    </w:p>
  </w:footnote>
  <w:footnote w:id="20">
    <w:p w14:paraId="3B82A1C2" w14:textId="77777777" w:rsidR="003E40A5" w:rsidRPr="00692922" w:rsidRDefault="003E40A5" w:rsidP="003E40A5">
      <w:pPr>
        <w:pStyle w:val="FootnoteText"/>
        <w:bidi/>
        <w:rPr>
          <w:rFonts w:cstheme="minorHAnsi"/>
          <w:rtl/>
          <w:lang w:bidi="he-IL"/>
        </w:rPr>
      </w:pPr>
      <w:r w:rsidRPr="007E793E">
        <w:rPr>
          <w:rStyle w:val="FootnoteReference"/>
          <w:rFonts w:cstheme="minorHAnsi"/>
        </w:rPr>
        <w:footnoteRef/>
      </w:r>
      <w:r w:rsidRPr="007E793E">
        <w:rPr>
          <w:rFonts w:cstheme="minorHAnsi"/>
        </w:rPr>
        <w:t xml:space="preserve"> </w:t>
      </w:r>
      <w:r w:rsidRPr="007E793E">
        <w:rPr>
          <w:rStyle w:val="il"/>
          <w:rFonts w:cstheme="minorHAnsi"/>
          <w:shd w:val="clear" w:color="auto" w:fill="FFFFFF"/>
          <w:rtl/>
          <w:lang w:bidi="he-IL"/>
        </w:rPr>
        <w:t>ראה דו"ח ועדת</w:t>
      </w:r>
      <w:r w:rsidRPr="007E793E">
        <w:rPr>
          <w:rFonts w:cstheme="minorHAnsi"/>
          <w:shd w:val="clear" w:color="auto" w:fill="FFFFFF"/>
          <w:rtl/>
        </w:rPr>
        <w:t> </w:t>
      </w:r>
      <w:r w:rsidRPr="007E793E">
        <w:rPr>
          <w:rStyle w:val="il"/>
          <w:rFonts w:cstheme="minorHAnsi"/>
          <w:shd w:val="clear" w:color="auto" w:fill="FFFFFF"/>
          <w:rtl/>
          <w:lang w:bidi="he-IL"/>
        </w:rPr>
        <w:t>משנה</w:t>
      </w:r>
      <w:r w:rsidRPr="007E793E">
        <w:rPr>
          <w:rFonts w:cstheme="minorHAnsi"/>
          <w:shd w:val="clear" w:color="auto" w:fill="FFFFFF"/>
          <w:rtl/>
        </w:rPr>
        <w:t> </w:t>
      </w:r>
      <w:r w:rsidRPr="007E793E">
        <w:rPr>
          <w:rFonts w:cstheme="minorHAnsi"/>
          <w:shd w:val="clear" w:color="auto" w:fill="FFFFFF"/>
          <w:rtl/>
          <w:lang w:bidi="he-IL"/>
        </w:rPr>
        <w:t xml:space="preserve">של המיזם הלאומי </w:t>
      </w:r>
      <w:r w:rsidRPr="007E793E">
        <w:rPr>
          <w:rFonts w:cstheme="minorHAnsi"/>
          <w:rtl/>
          <w:lang w:bidi="he-IL"/>
        </w:rPr>
        <w:t xml:space="preserve">למערכות נבונות בנושא אתיקה ורגולציה של בינה מלאכותית </w:t>
      </w:r>
      <w:r w:rsidRPr="007E793E">
        <w:rPr>
          <w:rFonts w:cstheme="minorHAnsi"/>
        </w:rPr>
        <w:t xml:space="preserve"> </w:t>
      </w:r>
      <w:hyperlink r:id="rId5" w:history="1">
        <w:r w:rsidRPr="00692922">
          <w:rPr>
            <w:rStyle w:val="Hyperlink"/>
            <w:rFonts w:cstheme="minorHAnsi"/>
            <w:color w:val="auto"/>
            <w:u w:val="none"/>
          </w:rPr>
          <w:t>http://ekarine.org/heb/wp-content/pubs/AIEthicsRegulationReport-hebrew.pdf</w:t>
        </w:r>
      </w:hyperlink>
    </w:p>
  </w:footnote>
  <w:footnote w:id="21">
    <w:p w14:paraId="1D84613A" w14:textId="77777777" w:rsidR="003E40A5" w:rsidRPr="00692922" w:rsidRDefault="003E40A5" w:rsidP="003E40A5">
      <w:pPr>
        <w:pStyle w:val="FootnoteText"/>
        <w:bidi/>
        <w:rPr>
          <w:rFonts w:cstheme="minorHAnsi"/>
          <w:rtl/>
        </w:rPr>
      </w:pPr>
      <w:r w:rsidRPr="00692922">
        <w:rPr>
          <w:rStyle w:val="FootnoteReference"/>
          <w:rFonts w:cstheme="minorHAnsi"/>
        </w:rPr>
        <w:footnoteRef/>
      </w:r>
      <w:r w:rsidRPr="00692922">
        <w:rPr>
          <w:rFonts w:cstheme="minorHAnsi"/>
        </w:rPr>
        <w:t xml:space="preserve"> </w:t>
      </w:r>
      <w:r w:rsidRPr="00692922">
        <w:rPr>
          <w:rFonts w:cstheme="minorHAnsi"/>
          <w:rtl/>
          <w:lang w:bidi="he-IL"/>
        </w:rPr>
        <w:t>ראו למשל</w:t>
      </w:r>
      <w:r w:rsidRPr="00692922">
        <w:rPr>
          <w:rFonts w:cstheme="minorHAnsi"/>
          <w:rtl/>
        </w:rPr>
        <w:t>:</w:t>
      </w:r>
    </w:p>
    <w:p w14:paraId="7A92A810" w14:textId="77777777" w:rsidR="003E40A5" w:rsidRPr="00692922" w:rsidRDefault="00B10F33" w:rsidP="003E40A5">
      <w:pPr>
        <w:pStyle w:val="FootnoteText"/>
        <w:rPr>
          <w:rFonts w:cstheme="minorHAnsi"/>
        </w:rPr>
      </w:pPr>
      <w:hyperlink r:id="rId6" w:history="1">
        <w:r w:rsidR="003E40A5" w:rsidRPr="00692922">
          <w:rPr>
            <w:rStyle w:val="Hyperlink"/>
            <w:rFonts w:cstheme="minorHAnsi"/>
            <w:color w:val="auto"/>
            <w:u w:val="none"/>
          </w:rPr>
          <w:t>https://www.defense.gov/explore/story/Article/2006646/defense-innovation-board-recommends-ai-ethical-guidelines/</w:t>
        </w:r>
      </w:hyperlink>
      <w:r w:rsidR="003E40A5" w:rsidRPr="00692922">
        <w:rPr>
          <w:rFonts w:cstheme="minorHAnsi"/>
        </w:rPr>
        <w:t>;</w:t>
      </w:r>
    </w:p>
    <w:p w14:paraId="67465E47" w14:textId="77777777" w:rsidR="003E40A5" w:rsidRPr="00692922" w:rsidRDefault="00B10F33" w:rsidP="003E40A5">
      <w:pPr>
        <w:pStyle w:val="FootnoteText"/>
        <w:rPr>
          <w:rFonts w:cstheme="minorHAnsi"/>
        </w:rPr>
      </w:pPr>
      <w:hyperlink r:id="rId7" w:history="1">
        <w:r w:rsidR="003E40A5" w:rsidRPr="00692922">
          <w:rPr>
            <w:rStyle w:val="Hyperlink"/>
            <w:rFonts w:cstheme="minorHAnsi"/>
            <w:color w:val="auto"/>
            <w:u w:val="none"/>
          </w:rPr>
          <w:t>https://www.tellerreport.com/news/2019-06-08---meeting-in-japanese-tsukuba--g20-agree-on-principles-of-artificial-intelligence-.SylfYaIKCV.html</w:t>
        </w:r>
      </w:hyperlink>
      <w:r w:rsidR="003E40A5" w:rsidRPr="00692922">
        <w:rPr>
          <w:rFonts w:cstheme="minorHAnsi"/>
        </w:rPr>
        <w:t>;</w:t>
      </w:r>
    </w:p>
    <w:p w14:paraId="119BBC5D" w14:textId="77777777" w:rsidR="003E40A5" w:rsidRPr="00692922" w:rsidRDefault="00B10F33" w:rsidP="003E40A5">
      <w:pPr>
        <w:pStyle w:val="FootnoteText"/>
        <w:rPr>
          <w:rFonts w:cstheme="minorHAnsi"/>
        </w:rPr>
      </w:pPr>
      <w:hyperlink r:id="rId8" w:history="1">
        <w:r w:rsidR="003E40A5" w:rsidRPr="00692922">
          <w:rPr>
            <w:rStyle w:val="Hyperlink"/>
            <w:rFonts w:cstheme="minorHAnsi"/>
            <w:color w:val="auto"/>
            <w:u w:val="none"/>
          </w:rPr>
          <w:t>https://futureoflife.org/ai-principles/?cn-reloaded=1</w:t>
        </w:r>
      </w:hyperlink>
      <w:r w:rsidR="003E40A5" w:rsidRPr="00692922">
        <w:rPr>
          <w:rFonts w:cstheme="minorHAnsi"/>
        </w:rPr>
        <w:t>;</w:t>
      </w:r>
    </w:p>
    <w:p w14:paraId="1E95E4D9" w14:textId="77777777" w:rsidR="003E40A5" w:rsidRPr="00692922" w:rsidRDefault="00B10F33" w:rsidP="003E40A5">
      <w:pPr>
        <w:pStyle w:val="FootnoteText"/>
        <w:rPr>
          <w:rFonts w:cstheme="minorHAnsi"/>
          <w:rtl/>
          <w:lang w:bidi="he-IL"/>
        </w:rPr>
      </w:pPr>
      <w:hyperlink r:id="rId9" w:history="1">
        <w:r w:rsidR="003E40A5" w:rsidRPr="00692922">
          <w:rPr>
            <w:rStyle w:val="Hyperlink"/>
            <w:rFonts w:cstheme="minorHAnsi"/>
            <w:color w:val="auto"/>
            <w:u w:val="none"/>
          </w:rPr>
          <w:t>https://ai.google/principles/</w:t>
        </w:r>
      </w:hyperlink>
      <w:r w:rsidR="003E40A5" w:rsidRPr="00692922">
        <w:rPr>
          <w:rFonts w:cstheme="minorHAnsi"/>
        </w:rPr>
        <w:t>.</w:t>
      </w:r>
    </w:p>
  </w:footnote>
  <w:footnote w:id="22">
    <w:p w14:paraId="777920FC" w14:textId="77777777" w:rsidR="003E40A5" w:rsidRPr="007E793E" w:rsidRDefault="003E40A5" w:rsidP="003E40A5">
      <w:pPr>
        <w:pStyle w:val="FootnoteText"/>
        <w:rPr>
          <w:rFonts w:cstheme="minorHAnsi"/>
          <w:i/>
          <w:iCs/>
          <w:lang w:bidi="he-IL"/>
        </w:rPr>
      </w:pPr>
      <w:r w:rsidRPr="007E793E">
        <w:rPr>
          <w:rStyle w:val="FootnoteReference"/>
          <w:rFonts w:cstheme="minorHAnsi"/>
        </w:rPr>
        <w:footnoteRef/>
      </w:r>
      <w:r w:rsidRPr="007E793E">
        <w:rPr>
          <w:rFonts w:cstheme="minorHAnsi"/>
        </w:rPr>
        <w:t xml:space="preserve"> </w:t>
      </w:r>
      <w:r w:rsidRPr="007E793E">
        <w:rPr>
          <w:rFonts w:cstheme="minorHAnsi"/>
          <w:rtl/>
          <w:lang w:bidi="he-IL"/>
        </w:rPr>
        <w:t xml:space="preserve"> </w:t>
      </w:r>
      <w:r w:rsidRPr="007E793E">
        <w:rPr>
          <w:rFonts w:cstheme="minorHAnsi"/>
        </w:rPr>
        <w:t xml:space="preserve">EU General Data Protection Regulation 2016/679 ("GDPR"), Recital 33 Consent to Certain Areas of Scientific Research: </w:t>
      </w:r>
      <w:r w:rsidRPr="007E793E">
        <w:rPr>
          <w:rFonts w:cstheme="minorHAnsi"/>
          <w:i/>
          <w:iCs/>
        </w:rPr>
        <w:t>"It is often not possible to fully identify the purpose of personal data processing for scientific research purposes at the time of data collection. Therefore, data subjects should be allowed to give their consent to certain areas of scientific research when in keeping with recognised ethical standards for scientific research.</w:t>
      </w:r>
      <w:r w:rsidRPr="007E793E">
        <w:rPr>
          <w:rFonts w:cstheme="minorHAnsi"/>
          <w:i/>
          <w:iCs/>
          <w:lang w:bidi="he-IL"/>
        </w:rPr>
        <w:t>"</w:t>
      </w:r>
    </w:p>
  </w:footnote>
  <w:footnote w:id="23">
    <w:p w14:paraId="7CF360AC" w14:textId="77777777" w:rsidR="003E40A5" w:rsidRPr="007E793E" w:rsidRDefault="003E40A5" w:rsidP="003E40A5">
      <w:pPr>
        <w:pStyle w:val="FootnoteText"/>
        <w:rPr>
          <w:rFonts w:cstheme="minorHAnsi"/>
          <w:i/>
          <w:iCs/>
        </w:rPr>
      </w:pPr>
    </w:p>
  </w:footnote>
  <w:footnote w:id="24">
    <w:p w14:paraId="1FD0B3E0" w14:textId="77777777" w:rsidR="003E40A5" w:rsidRPr="007E793E" w:rsidRDefault="003E40A5" w:rsidP="003E40A5">
      <w:pPr>
        <w:pStyle w:val="FootnoteText"/>
        <w:bidi/>
        <w:rPr>
          <w:rFonts w:cstheme="minorHAnsi"/>
          <w:rtl/>
          <w:lang w:bidi="he-IL"/>
        </w:rPr>
      </w:pPr>
      <w:r w:rsidRPr="007E793E">
        <w:rPr>
          <w:rStyle w:val="FootnoteReference"/>
          <w:rFonts w:cstheme="minorHAnsi"/>
        </w:rPr>
        <w:footnoteRef/>
      </w:r>
      <w:r w:rsidRPr="007E793E">
        <w:rPr>
          <w:rFonts w:cstheme="minorHAnsi"/>
        </w:rPr>
        <w:t xml:space="preserve"> </w:t>
      </w:r>
      <w:r>
        <w:rPr>
          <w:rFonts w:cstheme="minorHAnsi" w:hint="cs"/>
          <w:rtl/>
          <w:lang w:bidi="he-IL"/>
        </w:rPr>
        <w:t xml:space="preserve">ר' </w:t>
      </w:r>
      <w:r w:rsidRPr="007E793E">
        <w:rPr>
          <w:rFonts w:cstheme="minorHAnsi"/>
          <w:rtl/>
          <w:lang w:bidi="he-IL"/>
        </w:rPr>
        <w:t>מסקנות הוועדה ליישום המלצות השימושים המשניים במידע בריאות (משה"ב, 2018), עמ' 23.</w:t>
      </w:r>
    </w:p>
    <w:p w14:paraId="249168ED" w14:textId="77777777" w:rsidR="003E40A5" w:rsidRPr="007E793E" w:rsidRDefault="003E40A5" w:rsidP="003E40A5">
      <w:pPr>
        <w:pStyle w:val="FootnoteText"/>
        <w:bidi/>
        <w:rPr>
          <w:rFonts w:cstheme="minorHAnsi"/>
          <w:rtl/>
          <w:lang w:bidi="he-IL"/>
        </w:rPr>
      </w:pPr>
    </w:p>
  </w:footnote>
  <w:footnote w:id="25">
    <w:p w14:paraId="797309AF" w14:textId="77777777" w:rsidR="003E40A5" w:rsidRPr="007E793E" w:rsidRDefault="003E40A5" w:rsidP="003E40A5">
      <w:pPr>
        <w:pStyle w:val="FootnoteText"/>
        <w:bidi/>
        <w:rPr>
          <w:rFonts w:cstheme="minorHAnsi"/>
          <w:rtl/>
          <w:lang w:bidi="he-IL"/>
        </w:rPr>
      </w:pPr>
      <w:r w:rsidRPr="007E793E">
        <w:rPr>
          <w:rStyle w:val="FootnoteReference"/>
          <w:rFonts w:cstheme="minorHAnsi"/>
        </w:rPr>
        <w:footnoteRef/>
      </w:r>
      <w:r w:rsidRPr="007E793E">
        <w:rPr>
          <w:rFonts w:cstheme="minorHAnsi"/>
          <w:rtl/>
          <w:lang w:bidi="he-IL"/>
        </w:rPr>
        <w:t xml:space="preserve"> הנוהל לניסויים רפואיים בבני אדם, נוהל 14 של אגף הרוקחות (2016); </w:t>
      </w:r>
      <w:hyperlink r:id="rId10" w:history="1">
        <w:r w:rsidRPr="007E793E">
          <w:rPr>
            <w:rStyle w:val="Hyperlink"/>
            <w:rFonts w:cstheme="minorHAnsi"/>
            <w:color w:val="auto"/>
          </w:rPr>
          <w:t>https://www.health.gov.il/hozer/DR_14.pdf</w:t>
        </w:r>
      </w:hyperlink>
      <w:r w:rsidRPr="007E793E">
        <w:rPr>
          <w:rFonts w:cstheme="minorHAnsi"/>
          <w:rtl/>
          <w:lang w:bidi="he-I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78A9D" w14:textId="77777777" w:rsidR="00157399" w:rsidRDefault="00355308">
    <w:pPr>
      <w:pStyle w:val="Header"/>
    </w:pPr>
    <w:r>
      <w:rPr>
        <w:noProof/>
      </w:rPr>
      <w:drawing>
        <wp:anchor distT="0" distB="0" distL="114300" distR="114300" simplePos="0" relativeHeight="251658240" behindDoc="1" locked="0" layoutInCell="0" allowOverlap="1" wp14:anchorId="14C02701">
          <wp:simplePos x="0" y="0"/>
          <wp:positionH relativeFrom="margin">
            <wp:align>center</wp:align>
          </wp:positionH>
          <wp:positionV relativeFrom="margin">
            <wp:align>center</wp:align>
          </wp:positionV>
          <wp:extent cx="3101975" cy="76327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975" cy="7632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13CB7" w14:textId="77777777" w:rsidR="00157399" w:rsidRDefault="00157399" w:rsidP="001D01C1">
    <w:pPr>
      <w:adjustRightInd w:val="0"/>
      <w:ind w:left="-907"/>
      <w:rPr>
        <w:rFonts w:ascii="Calibri" w:hAnsi="Calibri"/>
        <w:noProof/>
        <w:color w:val="4D4D4D" w:themeColor="accent6"/>
        <w:sz w:val="20"/>
        <w:szCs w:val="20"/>
      </w:rPr>
    </w:pPr>
    <w:r>
      <w:rPr>
        <w:rFonts w:ascii="Calibri" w:hAnsi="Calibri"/>
        <w:noProof/>
        <w:color w:val="4D4D4D" w:themeColor="accent6"/>
        <w:sz w:val="20"/>
        <w:szCs w:val="20"/>
      </w:rPr>
      <w:drawing>
        <wp:inline distT="0" distB="0" distL="0" distR="0" wp14:anchorId="509174DE" wp14:editId="3A706F17">
          <wp:extent cx="2738718" cy="6604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png"/>
                  <pic:cNvPicPr/>
                </pic:nvPicPr>
                <pic:blipFill>
                  <a:blip r:embed="rId1">
                    <a:extLst>
                      <a:ext uri="{28A0092B-C50C-407E-A947-70E740481C1C}">
                        <a14:useLocalDpi xmlns:a14="http://schemas.microsoft.com/office/drawing/2010/main" val="0"/>
                      </a:ext>
                    </a:extLst>
                  </a:blip>
                  <a:stretch>
                    <a:fillRect/>
                  </a:stretch>
                </pic:blipFill>
                <pic:spPr>
                  <a:xfrm>
                    <a:off x="0" y="0"/>
                    <a:ext cx="2738718" cy="660400"/>
                  </a:xfrm>
                  <a:prstGeom prst="rect">
                    <a:avLst/>
                  </a:prstGeom>
                </pic:spPr>
              </pic:pic>
            </a:graphicData>
          </a:graphic>
        </wp:inline>
      </w:drawing>
    </w:r>
    <w:r>
      <w:rPr>
        <w:rFonts w:ascii="Calibri" w:hAnsi="Calibri"/>
        <w:noProof/>
        <w:color w:val="4D4D4D" w:themeColor="accent6"/>
        <w:sz w:val="20"/>
        <w:szCs w:val="20"/>
        <w:rtl/>
      </w:rPr>
      <w:tab/>
    </w:r>
    <w:r>
      <w:rPr>
        <w:rFonts w:ascii="Calibri" w:hAnsi="Calibri"/>
        <w:noProof/>
        <w:color w:val="4D4D4D" w:themeColor="accent6"/>
        <w:sz w:val="20"/>
        <w:szCs w:val="20"/>
        <w:rtl/>
      </w:rPr>
      <w:tab/>
    </w:r>
    <w:r>
      <w:rPr>
        <w:rFonts w:ascii="Calibri" w:hAnsi="Calibri"/>
        <w:noProof/>
        <w:color w:val="4D4D4D" w:themeColor="accent6"/>
        <w:sz w:val="20"/>
        <w:szCs w:val="20"/>
        <w:rtl/>
      </w:rPr>
      <w:tab/>
    </w:r>
    <w:r>
      <w:rPr>
        <w:rFonts w:ascii="Calibri" w:hAnsi="Calibri"/>
        <w:noProof/>
        <w:color w:val="4D4D4D" w:themeColor="accent6"/>
        <w:sz w:val="20"/>
        <w:szCs w:val="20"/>
        <w:rtl/>
      </w:rPr>
      <w:tab/>
    </w:r>
    <w:r>
      <w:rPr>
        <w:rFonts w:ascii="Calibri" w:hAnsi="Calibri"/>
        <w:noProof/>
        <w:color w:val="4D4D4D" w:themeColor="accent6"/>
        <w:sz w:val="20"/>
        <w:szCs w:val="20"/>
        <w:rtl/>
      </w:rPr>
      <w:tab/>
    </w:r>
    <w:r>
      <w:rPr>
        <w:rFonts w:ascii="Calibri" w:hAnsi="Calibri"/>
        <w:noProof/>
        <w:color w:val="4D4D4D" w:themeColor="accent6"/>
        <w:sz w:val="20"/>
        <w:szCs w:val="20"/>
        <w:rtl/>
      </w:rPr>
      <w:tab/>
    </w:r>
  </w:p>
  <w:p w14:paraId="7D031769" w14:textId="77777777" w:rsidR="00157399" w:rsidRPr="001D391C" w:rsidRDefault="00157399" w:rsidP="006D4F08">
    <w:pPr>
      <w:adjustRightInd w:val="0"/>
      <w:rPr>
        <w:rFonts w:ascii="Calibri" w:hAnsi="Calibri"/>
        <w:color w:val="4D4D4D" w:themeColor="accent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02EB"/>
    <w:multiLevelType w:val="hybridMultilevel"/>
    <w:tmpl w:val="2E20DB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D3681"/>
    <w:multiLevelType w:val="hybridMultilevel"/>
    <w:tmpl w:val="8262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171CF"/>
    <w:multiLevelType w:val="hybridMultilevel"/>
    <w:tmpl w:val="BE544CA2"/>
    <w:lvl w:ilvl="0" w:tplc="089235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940250"/>
    <w:multiLevelType w:val="hybridMultilevel"/>
    <w:tmpl w:val="BE30B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70AE"/>
    <w:multiLevelType w:val="hybridMultilevel"/>
    <w:tmpl w:val="3172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E0C25"/>
    <w:multiLevelType w:val="hybridMultilevel"/>
    <w:tmpl w:val="89841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66535D"/>
    <w:multiLevelType w:val="hybridMultilevel"/>
    <w:tmpl w:val="13E203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DC48E0"/>
    <w:multiLevelType w:val="hybridMultilevel"/>
    <w:tmpl w:val="6596BCDC"/>
    <w:lvl w:ilvl="0" w:tplc="F7DEC21A">
      <w:start w:val="1"/>
      <w:numFmt w:val="hebrew1"/>
      <w:lvlText w:val="%1."/>
      <w:lvlJc w:val="left"/>
      <w:pPr>
        <w:ind w:left="6" w:hanging="360"/>
      </w:pPr>
      <w:rPr>
        <w:rFonts w:asciiTheme="minorHAnsi" w:hAnsiTheme="minorHAnsi" w:cstheme="minorHAnsi" w:hint="default"/>
        <w:color w:val="404041"/>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8" w15:restartNumberingAfterBreak="0">
    <w:nsid w:val="61733C68"/>
    <w:multiLevelType w:val="multilevel"/>
    <w:tmpl w:val="2CC4A5C6"/>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D84928"/>
    <w:multiLevelType w:val="multilevel"/>
    <w:tmpl w:val="76B8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24B52"/>
    <w:multiLevelType w:val="hybridMultilevel"/>
    <w:tmpl w:val="43348D18"/>
    <w:lvl w:ilvl="0" w:tplc="FAFE95DA">
      <w:start w:val="1"/>
      <w:numFmt w:val="decimal"/>
      <w:lvlText w:val="%1."/>
      <w:lvlJc w:val="left"/>
      <w:pPr>
        <w:ind w:left="360" w:hanging="360"/>
      </w:pPr>
      <w:rPr>
        <w:rFonts w:cstheme="minorHAns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B10C10"/>
    <w:multiLevelType w:val="hybridMultilevel"/>
    <w:tmpl w:val="FD04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931EA"/>
    <w:multiLevelType w:val="hybridMultilevel"/>
    <w:tmpl w:val="DBFC0FE0"/>
    <w:lvl w:ilvl="0" w:tplc="089235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AB6C42"/>
    <w:multiLevelType w:val="multilevel"/>
    <w:tmpl w:val="D162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4"/>
  </w:num>
  <w:num w:numId="4">
    <w:abstractNumId w:val="9"/>
  </w:num>
  <w:num w:numId="5">
    <w:abstractNumId w:val="2"/>
  </w:num>
  <w:num w:numId="6">
    <w:abstractNumId w:val="13"/>
  </w:num>
  <w:num w:numId="7">
    <w:abstractNumId w:val="7"/>
  </w:num>
  <w:num w:numId="8">
    <w:abstractNumId w:val="12"/>
  </w:num>
  <w:num w:numId="9">
    <w:abstractNumId w:val="5"/>
  </w:num>
  <w:num w:numId="10">
    <w:abstractNumId w:val="8"/>
  </w:num>
  <w:num w:numId="11">
    <w:abstractNumId w:val="6"/>
  </w:num>
  <w:num w:numId="12">
    <w:abstractNumId w:val="1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ctiveWritingStyle w:appName="MSWord" w:lang="ar-SA" w:vendorID="64" w:dllVersion="4096" w:nlCheck="1" w:checkStyle="0"/>
  <w:activeWritingStyle w:appName="MSWord" w:lang="en-US" w:vendorID="64" w:dllVersion="4096" w:nlCheck="1" w:checkStyle="0"/>
  <w:activeWritingStyle w:appName="MSWord" w:lang="en-US" w:vendorID="64" w:dllVersion="0" w:nlCheck="1" w:checkStyle="0"/>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16"/>
    <w:rsid w:val="000353E2"/>
    <w:rsid w:val="00035B5E"/>
    <w:rsid w:val="000567AF"/>
    <w:rsid w:val="000745C0"/>
    <w:rsid w:val="00075AC8"/>
    <w:rsid w:val="00084F41"/>
    <w:rsid w:val="00087827"/>
    <w:rsid w:val="000A3621"/>
    <w:rsid w:val="000A5F85"/>
    <w:rsid w:val="000B4B1D"/>
    <w:rsid w:val="000F422F"/>
    <w:rsid w:val="000F4A6D"/>
    <w:rsid w:val="00110232"/>
    <w:rsid w:val="00116FA8"/>
    <w:rsid w:val="00127240"/>
    <w:rsid w:val="00150695"/>
    <w:rsid w:val="00152330"/>
    <w:rsid w:val="00157399"/>
    <w:rsid w:val="00162C99"/>
    <w:rsid w:val="0019453C"/>
    <w:rsid w:val="001B6C37"/>
    <w:rsid w:val="001B764C"/>
    <w:rsid w:val="001C31F5"/>
    <w:rsid w:val="001D01C1"/>
    <w:rsid w:val="001D1225"/>
    <w:rsid w:val="001D391C"/>
    <w:rsid w:val="001D448B"/>
    <w:rsid w:val="001D6925"/>
    <w:rsid w:val="001D75B2"/>
    <w:rsid w:val="001E7CD5"/>
    <w:rsid w:val="0020050E"/>
    <w:rsid w:val="00201C9A"/>
    <w:rsid w:val="00221E2F"/>
    <w:rsid w:val="00241B56"/>
    <w:rsid w:val="0024550E"/>
    <w:rsid w:val="00246492"/>
    <w:rsid w:val="0027014D"/>
    <w:rsid w:val="00275821"/>
    <w:rsid w:val="00276134"/>
    <w:rsid w:val="00276A26"/>
    <w:rsid w:val="00291C03"/>
    <w:rsid w:val="002A12AD"/>
    <w:rsid w:val="002A47FE"/>
    <w:rsid w:val="002B2960"/>
    <w:rsid w:val="002B33B7"/>
    <w:rsid w:val="002C0597"/>
    <w:rsid w:val="002D047B"/>
    <w:rsid w:val="002F1289"/>
    <w:rsid w:val="002F21F9"/>
    <w:rsid w:val="00300D9A"/>
    <w:rsid w:val="00311FFE"/>
    <w:rsid w:val="00355308"/>
    <w:rsid w:val="00360B5E"/>
    <w:rsid w:val="0036468F"/>
    <w:rsid w:val="0037073A"/>
    <w:rsid w:val="003708A8"/>
    <w:rsid w:val="00370B97"/>
    <w:rsid w:val="003718B9"/>
    <w:rsid w:val="0037572A"/>
    <w:rsid w:val="00391E1B"/>
    <w:rsid w:val="00395828"/>
    <w:rsid w:val="0039738C"/>
    <w:rsid w:val="00397894"/>
    <w:rsid w:val="003A2FFE"/>
    <w:rsid w:val="003E40A5"/>
    <w:rsid w:val="003E6666"/>
    <w:rsid w:val="003F4D03"/>
    <w:rsid w:val="004209C7"/>
    <w:rsid w:val="00424FC7"/>
    <w:rsid w:val="004255E3"/>
    <w:rsid w:val="0043358B"/>
    <w:rsid w:val="004361D8"/>
    <w:rsid w:val="00436399"/>
    <w:rsid w:val="004434A7"/>
    <w:rsid w:val="00464ADA"/>
    <w:rsid w:val="00473547"/>
    <w:rsid w:val="004827EF"/>
    <w:rsid w:val="00486BA0"/>
    <w:rsid w:val="00491B9B"/>
    <w:rsid w:val="0049324C"/>
    <w:rsid w:val="004B07B8"/>
    <w:rsid w:val="004C2E1D"/>
    <w:rsid w:val="004C55DF"/>
    <w:rsid w:val="004F4D0E"/>
    <w:rsid w:val="004F708D"/>
    <w:rsid w:val="004F7CBD"/>
    <w:rsid w:val="00503DDE"/>
    <w:rsid w:val="00514454"/>
    <w:rsid w:val="00522032"/>
    <w:rsid w:val="00540F94"/>
    <w:rsid w:val="00541625"/>
    <w:rsid w:val="005418D8"/>
    <w:rsid w:val="00544352"/>
    <w:rsid w:val="0054553B"/>
    <w:rsid w:val="005752C8"/>
    <w:rsid w:val="00580174"/>
    <w:rsid w:val="00592E72"/>
    <w:rsid w:val="005A70F2"/>
    <w:rsid w:val="005B2855"/>
    <w:rsid w:val="005B6EC7"/>
    <w:rsid w:val="005B7492"/>
    <w:rsid w:val="005C094B"/>
    <w:rsid w:val="005C564B"/>
    <w:rsid w:val="005E38B8"/>
    <w:rsid w:val="00610A9F"/>
    <w:rsid w:val="00611BCD"/>
    <w:rsid w:val="00612697"/>
    <w:rsid w:val="006145CD"/>
    <w:rsid w:val="006338E6"/>
    <w:rsid w:val="00641F70"/>
    <w:rsid w:val="006438F1"/>
    <w:rsid w:val="0064560C"/>
    <w:rsid w:val="006500AE"/>
    <w:rsid w:val="006736C6"/>
    <w:rsid w:val="0067546F"/>
    <w:rsid w:val="0067746F"/>
    <w:rsid w:val="00692922"/>
    <w:rsid w:val="00693A96"/>
    <w:rsid w:val="006A2949"/>
    <w:rsid w:val="006B2F05"/>
    <w:rsid w:val="006D3F08"/>
    <w:rsid w:val="006D4F08"/>
    <w:rsid w:val="006E1015"/>
    <w:rsid w:val="00702C54"/>
    <w:rsid w:val="007117F2"/>
    <w:rsid w:val="00713AF2"/>
    <w:rsid w:val="00740CA3"/>
    <w:rsid w:val="007436E5"/>
    <w:rsid w:val="0075351F"/>
    <w:rsid w:val="00763281"/>
    <w:rsid w:val="00770C85"/>
    <w:rsid w:val="00775422"/>
    <w:rsid w:val="0078233F"/>
    <w:rsid w:val="00791B15"/>
    <w:rsid w:val="007A0488"/>
    <w:rsid w:val="007A385F"/>
    <w:rsid w:val="007A4C33"/>
    <w:rsid w:val="007A5616"/>
    <w:rsid w:val="007C4475"/>
    <w:rsid w:val="007E517B"/>
    <w:rsid w:val="007E793E"/>
    <w:rsid w:val="00805ECB"/>
    <w:rsid w:val="00817888"/>
    <w:rsid w:val="0082067D"/>
    <w:rsid w:val="00827B95"/>
    <w:rsid w:val="00835791"/>
    <w:rsid w:val="008376BF"/>
    <w:rsid w:val="00841DD8"/>
    <w:rsid w:val="00853F6B"/>
    <w:rsid w:val="00866253"/>
    <w:rsid w:val="00871831"/>
    <w:rsid w:val="00874A55"/>
    <w:rsid w:val="008763BD"/>
    <w:rsid w:val="00885EF9"/>
    <w:rsid w:val="00885F5E"/>
    <w:rsid w:val="00891A60"/>
    <w:rsid w:val="00896F8F"/>
    <w:rsid w:val="008C51A2"/>
    <w:rsid w:val="008C6FB7"/>
    <w:rsid w:val="008D15DB"/>
    <w:rsid w:val="008D4215"/>
    <w:rsid w:val="008F2667"/>
    <w:rsid w:val="00900469"/>
    <w:rsid w:val="00911717"/>
    <w:rsid w:val="009251D3"/>
    <w:rsid w:val="00941605"/>
    <w:rsid w:val="00951B08"/>
    <w:rsid w:val="0096210F"/>
    <w:rsid w:val="009672A9"/>
    <w:rsid w:val="00967A6D"/>
    <w:rsid w:val="00984DE2"/>
    <w:rsid w:val="00992A8B"/>
    <w:rsid w:val="009948FE"/>
    <w:rsid w:val="00995930"/>
    <w:rsid w:val="009A34B0"/>
    <w:rsid w:val="009B2FDE"/>
    <w:rsid w:val="009C163C"/>
    <w:rsid w:val="009C602B"/>
    <w:rsid w:val="009C771B"/>
    <w:rsid w:val="009D6CCB"/>
    <w:rsid w:val="009E4D8C"/>
    <w:rsid w:val="009E634D"/>
    <w:rsid w:val="009E69BD"/>
    <w:rsid w:val="009F3E4A"/>
    <w:rsid w:val="00A15B97"/>
    <w:rsid w:val="00A6038E"/>
    <w:rsid w:val="00A6665F"/>
    <w:rsid w:val="00A66A64"/>
    <w:rsid w:val="00A70C98"/>
    <w:rsid w:val="00A75BC1"/>
    <w:rsid w:val="00A8411C"/>
    <w:rsid w:val="00A912C9"/>
    <w:rsid w:val="00A947A2"/>
    <w:rsid w:val="00A97566"/>
    <w:rsid w:val="00AA0F7E"/>
    <w:rsid w:val="00AA6800"/>
    <w:rsid w:val="00AB04AD"/>
    <w:rsid w:val="00AB70AC"/>
    <w:rsid w:val="00B049C9"/>
    <w:rsid w:val="00B05452"/>
    <w:rsid w:val="00B10F33"/>
    <w:rsid w:val="00B24BB6"/>
    <w:rsid w:val="00B276BB"/>
    <w:rsid w:val="00B30302"/>
    <w:rsid w:val="00B46972"/>
    <w:rsid w:val="00B60E3D"/>
    <w:rsid w:val="00B642F6"/>
    <w:rsid w:val="00B67DCE"/>
    <w:rsid w:val="00B76988"/>
    <w:rsid w:val="00B83014"/>
    <w:rsid w:val="00B86B83"/>
    <w:rsid w:val="00B87122"/>
    <w:rsid w:val="00B93AAB"/>
    <w:rsid w:val="00BB1F46"/>
    <w:rsid w:val="00BC28AF"/>
    <w:rsid w:val="00BC5BE3"/>
    <w:rsid w:val="00BE2411"/>
    <w:rsid w:val="00BE6946"/>
    <w:rsid w:val="00BF39CB"/>
    <w:rsid w:val="00C259E6"/>
    <w:rsid w:val="00C4041F"/>
    <w:rsid w:val="00C4551C"/>
    <w:rsid w:val="00C5209B"/>
    <w:rsid w:val="00C71328"/>
    <w:rsid w:val="00CA1D15"/>
    <w:rsid w:val="00CB5B49"/>
    <w:rsid w:val="00CC252D"/>
    <w:rsid w:val="00CE3974"/>
    <w:rsid w:val="00CF35EA"/>
    <w:rsid w:val="00D02553"/>
    <w:rsid w:val="00D02BBE"/>
    <w:rsid w:val="00D072C4"/>
    <w:rsid w:val="00D16930"/>
    <w:rsid w:val="00D25600"/>
    <w:rsid w:val="00D30017"/>
    <w:rsid w:val="00D36824"/>
    <w:rsid w:val="00D72F6D"/>
    <w:rsid w:val="00D75538"/>
    <w:rsid w:val="00D83885"/>
    <w:rsid w:val="00D90245"/>
    <w:rsid w:val="00D978AB"/>
    <w:rsid w:val="00DA34BF"/>
    <w:rsid w:val="00DB1655"/>
    <w:rsid w:val="00DB322A"/>
    <w:rsid w:val="00DB371B"/>
    <w:rsid w:val="00DC3D4F"/>
    <w:rsid w:val="00DF417A"/>
    <w:rsid w:val="00E1436E"/>
    <w:rsid w:val="00E20599"/>
    <w:rsid w:val="00E41ABA"/>
    <w:rsid w:val="00E46E46"/>
    <w:rsid w:val="00E50AAA"/>
    <w:rsid w:val="00E54DCD"/>
    <w:rsid w:val="00E54E30"/>
    <w:rsid w:val="00E70836"/>
    <w:rsid w:val="00E708C7"/>
    <w:rsid w:val="00E70F86"/>
    <w:rsid w:val="00E7476B"/>
    <w:rsid w:val="00E77173"/>
    <w:rsid w:val="00E95BDE"/>
    <w:rsid w:val="00E9635E"/>
    <w:rsid w:val="00EA57A9"/>
    <w:rsid w:val="00EB1033"/>
    <w:rsid w:val="00EB2FF3"/>
    <w:rsid w:val="00EB3D0A"/>
    <w:rsid w:val="00EF5314"/>
    <w:rsid w:val="00EF77A3"/>
    <w:rsid w:val="00F003F2"/>
    <w:rsid w:val="00F026CA"/>
    <w:rsid w:val="00F22221"/>
    <w:rsid w:val="00F278C1"/>
    <w:rsid w:val="00F32A6E"/>
    <w:rsid w:val="00F42D83"/>
    <w:rsid w:val="00F45FE8"/>
    <w:rsid w:val="00F510CD"/>
    <w:rsid w:val="00F65250"/>
    <w:rsid w:val="00F8435B"/>
    <w:rsid w:val="00F96AB7"/>
    <w:rsid w:val="00FA5C22"/>
    <w:rsid w:val="00FC0185"/>
    <w:rsid w:val="00FC6315"/>
    <w:rsid w:val="00FD3020"/>
    <w:rsid w:val="00FD77E7"/>
    <w:rsid w:val="00FE4A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106C3D-8A0E-C34E-B018-0EB98A0C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B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8E6"/>
    <w:pPr>
      <w:tabs>
        <w:tab w:val="center" w:pos="4680"/>
        <w:tab w:val="right" w:pos="9360"/>
      </w:tabs>
    </w:pPr>
  </w:style>
  <w:style w:type="character" w:customStyle="1" w:styleId="HeaderChar">
    <w:name w:val="Header Char"/>
    <w:link w:val="Header"/>
    <w:uiPriority w:val="99"/>
    <w:rsid w:val="006338E6"/>
    <w:rPr>
      <w:sz w:val="24"/>
      <w:szCs w:val="24"/>
    </w:rPr>
  </w:style>
  <w:style w:type="paragraph" w:styleId="Footer">
    <w:name w:val="footer"/>
    <w:basedOn w:val="Normal"/>
    <w:link w:val="FooterChar"/>
    <w:uiPriority w:val="99"/>
    <w:unhideWhenUsed/>
    <w:rsid w:val="006338E6"/>
    <w:pPr>
      <w:tabs>
        <w:tab w:val="center" w:pos="4680"/>
        <w:tab w:val="right" w:pos="9360"/>
      </w:tabs>
    </w:pPr>
  </w:style>
  <w:style w:type="character" w:customStyle="1" w:styleId="FooterChar">
    <w:name w:val="Footer Char"/>
    <w:link w:val="Footer"/>
    <w:uiPriority w:val="99"/>
    <w:rsid w:val="006338E6"/>
    <w:rPr>
      <w:sz w:val="24"/>
      <w:szCs w:val="24"/>
    </w:rPr>
  </w:style>
  <w:style w:type="paragraph" w:styleId="BalloonText">
    <w:name w:val="Balloon Text"/>
    <w:basedOn w:val="Normal"/>
    <w:link w:val="BalloonTextChar"/>
    <w:uiPriority w:val="99"/>
    <w:semiHidden/>
    <w:unhideWhenUsed/>
    <w:rsid w:val="006338E6"/>
    <w:rPr>
      <w:rFonts w:ascii="Tahoma" w:hAnsi="Tahoma" w:cs="Tahoma"/>
      <w:sz w:val="16"/>
      <w:szCs w:val="16"/>
    </w:rPr>
  </w:style>
  <w:style w:type="character" w:customStyle="1" w:styleId="BalloonTextChar">
    <w:name w:val="Balloon Text Char"/>
    <w:link w:val="BalloonText"/>
    <w:uiPriority w:val="99"/>
    <w:semiHidden/>
    <w:rsid w:val="006338E6"/>
    <w:rPr>
      <w:rFonts w:ascii="Tahoma" w:hAnsi="Tahoma" w:cs="Tahoma"/>
      <w:sz w:val="16"/>
      <w:szCs w:val="16"/>
    </w:rPr>
  </w:style>
  <w:style w:type="paragraph" w:customStyle="1" w:styleId="BasicParagraph">
    <w:name w:val="[Basic Paragraph]"/>
    <w:basedOn w:val="Normal"/>
    <w:uiPriority w:val="99"/>
    <w:rsid w:val="00592E72"/>
    <w:pPr>
      <w:autoSpaceDE w:val="0"/>
      <w:autoSpaceDN w:val="0"/>
      <w:bidi/>
      <w:adjustRightInd w:val="0"/>
      <w:spacing w:line="288" w:lineRule="auto"/>
      <w:textAlignment w:val="center"/>
    </w:pPr>
    <w:rPr>
      <w:rFonts w:ascii="Adobe" w:hAnsi="Adobe" w:cs="Adobe"/>
      <w:color w:val="000000"/>
    </w:rPr>
  </w:style>
  <w:style w:type="paragraph" w:styleId="Revision">
    <w:name w:val="Revision"/>
    <w:hidden/>
    <w:uiPriority w:val="99"/>
    <w:semiHidden/>
    <w:rsid w:val="00B05452"/>
    <w:rPr>
      <w:sz w:val="24"/>
      <w:szCs w:val="24"/>
    </w:rPr>
  </w:style>
  <w:style w:type="character" w:styleId="Hyperlink">
    <w:name w:val="Hyperlink"/>
    <w:basedOn w:val="DefaultParagraphFont"/>
    <w:uiPriority w:val="99"/>
    <w:unhideWhenUsed/>
    <w:rsid w:val="001D6925"/>
    <w:rPr>
      <w:color w:val="5F5F5F" w:themeColor="hyperlink"/>
      <w:u w:val="single"/>
    </w:rPr>
  </w:style>
  <w:style w:type="character" w:styleId="UnresolvedMention">
    <w:name w:val="Unresolved Mention"/>
    <w:basedOn w:val="DefaultParagraphFont"/>
    <w:uiPriority w:val="99"/>
    <w:semiHidden/>
    <w:unhideWhenUsed/>
    <w:rsid w:val="001D6925"/>
    <w:rPr>
      <w:color w:val="605E5C"/>
      <w:shd w:val="clear" w:color="auto" w:fill="E1DFDD"/>
    </w:rPr>
  </w:style>
  <w:style w:type="character" w:styleId="FollowedHyperlink">
    <w:name w:val="FollowedHyperlink"/>
    <w:basedOn w:val="DefaultParagraphFont"/>
    <w:uiPriority w:val="99"/>
    <w:semiHidden/>
    <w:unhideWhenUsed/>
    <w:rsid w:val="001D391C"/>
    <w:rPr>
      <w:color w:val="919191" w:themeColor="followedHyperlink"/>
      <w:u w:val="single"/>
    </w:rPr>
  </w:style>
  <w:style w:type="paragraph" w:styleId="ListParagraph">
    <w:name w:val="List Paragraph"/>
    <w:basedOn w:val="Normal"/>
    <w:uiPriority w:val="34"/>
    <w:qFormat/>
    <w:rsid w:val="0037073A"/>
    <w:pPr>
      <w:spacing w:after="160" w:line="259" w:lineRule="auto"/>
      <w:ind w:left="720"/>
      <w:contextualSpacing/>
    </w:pPr>
    <w:rPr>
      <w:rFonts w:asciiTheme="minorHAnsi" w:eastAsiaTheme="minorHAnsi" w:hAnsiTheme="minorHAnsi" w:cstheme="minorBidi"/>
      <w:sz w:val="22"/>
      <w:szCs w:val="22"/>
      <w:lang w:bidi="ar-SA"/>
    </w:rPr>
  </w:style>
  <w:style w:type="paragraph" w:styleId="FootnoteText">
    <w:name w:val="footnote text"/>
    <w:basedOn w:val="Normal"/>
    <w:link w:val="FootnoteTextChar"/>
    <w:uiPriority w:val="99"/>
    <w:semiHidden/>
    <w:unhideWhenUsed/>
    <w:rsid w:val="00AB70AC"/>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AB70AC"/>
    <w:rPr>
      <w:rFonts w:asciiTheme="minorHAnsi" w:eastAsiaTheme="minorHAnsi" w:hAnsiTheme="minorHAnsi" w:cstheme="minorBidi"/>
      <w:lang w:bidi="ar-SA"/>
    </w:rPr>
  </w:style>
  <w:style w:type="character" w:styleId="FootnoteReference">
    <w:name w:val="footnote reference"/>
    <w:basedOn w:val="DefaultParagraphFont"/>
    <w:uiPriority w:val="99"/>
    <w:semiHidden/>
    <w:unhideWhenUsed/>
    <w:rsid w:val="00AB70AC"/>
    <w:rPr>
      <w:vertAlign w:val="superscript"/>
    </w:rPr>
  </w:style>
  <w:style w:type="paragraph" w:customStyle="1" w:styleId="mw-cite-dir-ltr">
    <w:name w:val="mw-cite-dir-ltr"/>
    <w:basedOn w:val="Normal"/>
    <w:rsid w:val="0024550E"/>
    <w:pPr>
      <w:spacing w:before="100" w:beforeAutospacing="1" w:after="100" w:afterAutospacing="1"/>
    </w:pPr>
  </w:style>
  <w:style w:type="character" w:customStyle="1" w:styleId="apple-converted-space">
    <w:name w:val="apple-converted-space"/>
    <w:basedOn w:val="DefaultParagraphFont"/>
    <w:rsid w:val="0024550E"/>
  </w:style>
  <w:style w:type="character" w:customStyle="1" w:styleId="reference-text">
    <w:name w:val="reference-text"/>
    <w:basedOn w:val="DefaultParagraphFont"/>
    <w:rsid w:val="0024550E"/>
  </w:style>
  <w:style w:type="paragraph" w:styleId="NormalWeb">
    <w:name w:val="Normal (Web)"/>
    <w:basedOn w:val="Normal"/>
    <w:uiPriority w:val="99"/>
    <w:unhideWhenUsed/>
    <w:rsid w:val="00740CA3"/>
    <w:pPr>
      <w:spacing w:before="100" w:beforeAutospacing="1" w:after="100" w:afterAutospacing="1"/>
    </w:pPr>
  </w:style>
  <w:style w:type="character" w:styleId="CommentReference">
    <w:name w:val="annotation reference"/>
    <w:basedOn w:val="DefaultParagraphFont"/>
    <w:uiPriority w:val="99"/>
    <w:semiHidden/>
    <w:unhideWhenUsed/>
    <w:rsid w:val="004434A7"/>
    <w:rPr>
      <w:sz w:val="16"/>
      <w:szCs w:val="16"/>
    </w:rPr>
  </w:style>
  <w:style w:type="paragraph" w:styleId="CommentText">
    <w:name w:val="annotation text"/>
    <w:basedOn w:val="Normal"/>
    <w:link w:val="CommentTextChar"/>
    <w:uiPriority w:val="99"/>
    <w:semiHidden/>
    <w:unhideWhenUsed/>
    <w:rsid w:val="004434A7"/>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4434A7"/>
    <w:rPr>
      <w:rFonts w:asciiTheme="minorHAnsi" w:eastAsiaTheme="minorHAnsi" w:hAnsiTheme="minorHAnsi" w:cstheme="minorBidi"/>
      <w:lang w:bidi="ar-SA"/>
    </w:rPr>
  </w:style>
  <w:style w:type="table" w:styleId="TableGrid">
    <w:name w:val="Table Grid"/>
    <w:basedOn w:val="TableNormal"/>
    <w:uiPriority w:val="39"/>
    <w:rsid w:val="00E46E46"/>
    <w:rPr>
      <w:rFonts w:asciiTheme="minorHAnsi" w:eastAsiaTheme="minorHAnsi" w:hAnsiTheme="minorHAnsi"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E46"/>
    <w:pPr>
      <w:autoSpaceDE w:val="0"/>
      <w:autoSpaceDN w:val="0"/>
      <w:adjustRightInd w:val="0"/>
    </w:pPr>
    <w:rPr>
      <w:rFonts w:eastAsiaTheme="minorHAnsi"/>
      <w:color w:val="000000"/>
      <w:sz w:val="24"/>
      <w:szCs w:val="24"/>
    </w:rPr>
  </w:style>
  <w:style w:type="character" w:customStyle="1" w:styleId="il">
    <w:name w:val="il"/>
    <w:basedOn w:val="DefaultParagraphFont"/>
    <w:rsid w:val="00E46E46"/>
  </w:style>
  <w:style w:type="paragraph" w:styleId="CommentSubject">
    <w:name w:val="annotation subject"/>
    <w:basedOn w:val="CommentText"/>
    <w:next w:val="CommentText"/>
    <w:link w:val="CommentSubjectChar"/>
    <w:uiPriority w:val="99"/>
    <w:semiHidden/>
    <w:unhideWhenUsed/>
    <w:rsid w:val="00FA5C22"/>
    <w:rPr>
      <w:rFonts w:ascii="Times New Roman" w:eastAsia="Times New Roman" w:hAnsi="Times New Roman" w:cs="Times New Roman"/>
      <w:b/>
      <w:bCs/>
      <w:lang w:bidi="he-IL"/>
    </w:rPr>
  </w:style>
  <w:style w:type="character" w:customStyle="1" w:styleId="CommentSubjectChar">
    <w:name w:val="Comment Subject Char"/>
    <w:basedOn w:val="CommentTextChar"/>
    <w:link w:val="CommentSubject"/>
    <w:uiPriority w:val="99"/>
    <w:semiHidden/>
    <w:rsid w:val="00FA5C22"/>
    <w:rPr>
      <w:rFonts w:asciiTheme="minorHAnsi" w:eastAsiaTheme="minorHAnsi" w:hAnsiTheme="minorHAnsi" w:cstheme="minorBidi"/>
      <w:b/>
      <w:bCs/>
      <w:lang w:bidi="ar-SA"/>
    </w:rPr>
  </w:style>
  <w:style w:type="character" w:styleId="PageNumber">
    <w:name w:val="page number"/>
    <w:basedOn w:val="DefaultParagraphFont"/>
    <w:uiPriority w:val="99"/>
    <w:semiHidden/>
    <w:unhideWhenUsed/>
    <w:rsid w:val="00BE6946"/>
  </w:style>
  <w:style w:type="character" w:styleId="Emphasis">
    <w:name w:val="Emphasis"/>
    <w:basedOn w:val="DefaultParagraphFont"/>
    <w:uiPriority w:val="20"/>
    <w:qFormat/>
    <w:rsid w:val="00F278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207">
      <w:bodyDiv w:val="1"/>
      <w:marLeft w:val="0"/>
      <w:marRight w:val="0"/>
      <w:marTop w:val="0"/>
      <w:marBottom w:val="0"/>
      <w:divBdr>
        <w:top w:val="none" w:sz="0" w:space="0" w:color="auto"/>
        <w:left w:val="none" w:sz="0" w:space="0" w:color="auto"/>
        <w:bottom w:val="none" w:sz="0" w:space="0" w:color="auto"/>
        <w:right w:val="none" w:sz="0" w:space="0" w:color="auto"/>
      </w:divBdr>
    </w:div>
    <w:div w:id="99179297">
      <w:bodyDiv w:val="1"/>
      <w:marLeft w:val="0"/>
      <w:marRight w:val="0"/>
      <w:marTop w:val="0"/>
      <w:marBottom w:val="0"/>
      <w:divBdr>
        <w:top w:val="none" w:sz="0" w:space="0" w:color="auto"/>
        <w:left w:val="none" w:sz="0" w:space="0" w:color="auto"/>
        <w:bottom w:val="none" w:sz="0" w:space="0" w:color="auto"/>
        <w:right w:val="none" w:sz="0" w:space="0" w:color="auto"/>
      </w:divBdr>
    </w:div>
    <w:div w:id="154883453">
      <w:bodyDiv w:val="1"/>
      <w:marLeft w:val="0"/>
      <w:marRight w:val="0"/>
      <w:marTop w:val="0"/>
      <w:marBottom w:val="0"/>
      <w:divBdr>
        <w:top w:val="none" w:sz="0" w:space="0" w:color="auto"/>
        <w:left w:val="none" w:sz="0" w:space="0" w:color="auto"/>
        <w:bottom w:val="none" w:sz="0" w:space="0" w:color="auto"/>
        <w:right w:val="none" w:sz="0" w:space="0" w:color="auto"/>
      </w:divBdr>
    </w:div>
    <w:div w:id="188688654">
      <w:bodyDiv w:val="1"/>
      <w:marLeft w:val="0"/>
      <w:marRight w:val="0"/>
      <w:marTop w:val="0"/>
      <w:marBottom w:val="0"/>
      <w:divBdr>
        <w:top w:val="none" w:sz="0" w:space="0" w:color="auto"/>
        <w:left w:val="none" w:sz="0" w:space="0" w:color="auto"/>
        <w:bottom w:val="none" w:sz="0" w:space="0" w:color="auto"/>
        <w:right w:val="none" w:sz="0" w:space="0" w:color="auto"/>
      </w:divBdr>
    </w:div>
    <w:div w:id="191379869">
      <w:bodyDiv w:val="1"/>
      <w:marLeft w:val="0"/>
      <w:marRight w:val="0"/>
      <w:marTop w:val="0"/>
      <w:marBottom w:val="0"/>
      <w:divBdr>
        <w:top w:val="none" w:sz="0" w:space="0" w:color="auto"/>
        <w:left w:val="none" w:sz="0" w:space="0" w:color="auto"/>
        <w:bottom w:val="none" w:sz="0" w:space="0" w:color="auto"/>
        <w:right w:val="none" w:sz="0" w:space="0" w:color="auto"/>
      </w:divBdr>
    </w:div>
    <w:div w:id="246034669">
      <w:bodyDiv w:val="1"/>
      <w:marLeft w:val="0"/>
      <w:marRight w:val="0"/>
      <w:marTop w:val="0"/>
      <w:marBottom w:val="0"/>
      <w:divBdr>
        <w:top w:val="none" w:sz="0" w:space="0" w:color="auto"/>
        <w:left w:val="none" w:sz="0" w:space="0" w:color="auto"/>
        <w:bottom w:val="none" w:sz="0" w:space="0" w:color="auto"/>
        <w:right w:val="none" w:sz="0" w:space="0" w:color="auto"/>
      </w:divBdr>
    </w:div>
    <w:div w:id="260063635">
      <w:bodyDiv w:val="1"/>
      <w:marLeft w:val="0"/>
      <w:marRight w:val="0"/>
      <w:marTop w:val="0"/>
      <w:marBottom w:val="0"/>
      <w:divBdr>
        <w:top w:val="none" w:sz="0" w:space="0" w:color="auto"/>
        <w:left w:val="none" w:sz="0" w:space="0" w:color="auto"/>
        <w:bottom w:val="none" w:sz="0" w:space="0" w:color="auto"/>
        <w:right w:val="none" w:sz="0" w:space="0" w:color="auto"/>
      </w:divBdr>
    </w:div>
    <w:div w:id="264121638">
      <w:bodyDiv w:val="1"/>
      <w:marLeft w:val="0"/>
      <w:marRight w:val="0"/>
      <w:marTop w:val="0"/>
      <w:marBottom w:val="0"/>
      <w:divBdr>
        <w:top w:val="none" w:sz="0" w:space="0" w:color="auto"/>
        <w:left w:val="none" w:sz="0" w:space="0" w:color="auto"/>
        <w:bottom w:val="none" w:sz="0" w:space="0" w:color="auto"/>
        <w:right w:val="none" w:sz="0" w:space="0" w:color="auto"/>
      </w:divBdr>
      <w:divsChild>
        <w:div w:id="1625649581">
          <w:marLeft w:val="0"/>
          <w:marRight w:val="0"/>
          <w:marTop w:val="0"/>
          <w:marBottom w:val="0"/>
          <w:divBdr>
            <w:top w:val="none" w:sz="0" w:space="0" w:color="auto"/>
            <w:left w:val="none" w:sz="0" w:space="0" w:color="auto"/>
            <w:bottom w:val="none" w:sz="0" w:space="0" w:color="auto"/>
            <w:right w:val="none" w:sz="0" w:space="0" w:color="auto"/>
          </w:divBdr>
        </w:div>
        <w:div w:id="515922000">
          <w:marLeft w:val="0"/>
          <w:marRight w:val="0"/>
          <w:marTop w:val="0"/>
          <w:marBottom w:val="0"/>
          <w:divBdr>
            <w:top w:val="none" w:sz="0" w:space="0" w:color="auto"/>
            <w:left w:val="none" w:sz="0" w:space="0" w:color="auto"/>
            <w:bottom w:val="none" w:sz="0" w:space="0" w:color="auto"/>
            <w:right w:val="none" w:sz="0" w:space="0" w:color="auto"/>
          </w:divBdr>
        </w:div>
      </w:divsChild>
    </w:div>
    <w:div w:id="310210878">
      <w:bodyDiv w:val="1"/>
      <w:marLeft w:val="0"/>
      <w:marRight w:val="0"/>
      <w:marTop w:val="0"/>
      <w:marBottom w:val="0"/>
      <w:divBdr>
        <w:top w:val="none" w:sz="0" w:space="0" w:color="auto"/>
        <w:left w:val="none" w:sz="0" w:space="0" w:color="auto"/>
        <w:bottom w:val="none" w:sz="0" w:space="0" w:color="auto"/>
        <w:right w:val="none" w:sz="0" w:space="0" w:color="auto"/>
      </w:divBdr>
    </w:div>
    <w:div w:id="337970000">
      <w:bodyDiv w:val="1"/>
      <w:marLeft w:val="0"/>
      <w:marRight w:val="0"/>
      <w:marTop w:val="0"/>
      <w:marBottom w:val="0"/>
      <w:divBdr>
        <w:top w:val="none" w:sz="0" w:space="0" w:color="auto"/>
        <w:left w:val="none" w:sz="0" w:space="0" w:color="auto"/>
        <w:bottom w:val="none" w:sz="0" w:space="0" w:color="auto"/>
        <w:right w:val="none" w:sz="0" w:space="0" w:color="auto"/>
      </w:divBdr>
    </w:div>
    <w:div w:id="452484123">
      <w:bodyDiv w:val="1"/>
      <w:marLeft w:val="0"/>
      <w:marRight w:val="0"/>
      <w:marTop w:val="0"/>
      <w:marBottom w:val="0"/>
      <w:divBdr>
        <w:top w:val="none" w:sz="0" w:space="0" w:color="auto"/>
        <w:left w:val="none" w:sz="0" w:space="0" w:color="auto"/>
        <w:bottom w:val="none" w:sz="0" w:space="0" w:color="auto"/>
        <w:right w:val="none" w:sz="0" w:space="0" w:color="auto"/>
      </w:divBdr>
    </w:div>
    <w:div w:id="507670908">
      <w:bodyDiv w:val="1"/>
      <w:marLeft w:val="0"/>
      <w:marRight w:val="0"/>
      <w:marTop w:val="0"/>
      <w:marBottom w:val="0"/>
      <w:divBdr>
        <w:top w:val="none" w:sz="0" w:space="0" w:color="auto"/>
        <w:left w:val="none" w:sz="0" w:space="0" w:color="auto"/>
        <w:bottom w:val="none" w:sz="0" w:space="0" w:color="auto"/>
        <w:right w:val="none" w:sz="0" w:space="0" w:color="auto"/>
      </w:divBdr>
    </w:div>
    <w:div w:id="525826506">
      <w:bodyDiv w:val="1"/>
      <w:marLeft w:val="0"/>
      <w:marRight w:val="0"/>
      <w:marTop w:val="0"/>
      <w:marBottom w:val="0"/>
      <w:divBdr>
        <w:top w:val="none" w:sz="0" w:space="0" w:color="auto"/>
        <w:left w:val="none" w:sz="0" w:space="0" w:color="auto"/>
        <w:bottom w:val="none" w:sz="0" w:space="0" w:color="auto"/>
        <w:right w:val="none" w:sz="0" w:space="0" w:color="auto"/>
      </w:divBdr>
    </w:div>
    <w:div w:id="563106025">
      <w:bodyDiv w:val="1"/>
      <w:marLeft w:val="0"/>
      <w:marRight w:val="0"/>
      <w:marTop w:val="0"/>
      <w:marBottom w:val="0"/>
      <w:divBdr>
        <w:top w:val="none" w:sz="0" w:space="0" w:color="auto"/>
        <w:left w:val="none" w:sz="0" w:space="0" w:color="auto"/>
        <w:bottom w:val="none" w:sz="0" w:space="0" w:color="auto"/>
        <w:right w:val="none" w:sz="0" w:space="0" w:color="auto"/>
      </w:divBdr>
    </w:div>
    <w:div w:id="611015803">
      <w:bodyDiv w:val="1"/>
      <w:marLeft w:val="0"/>
      <w:marRight w:val="0"/>
      <w:marTop w:val="0"/>
      <w:marBottom w:val="0"/>
      <w:divBdr>
        <w:top w:val="none" w:sz="0" w:space="0" w:color="auto"/>
        <w:left w:val="none" w:sz="0" w:space="0" w:color="auto"/>
        <w:bottom w:val="none" w:sz="0" w:space="0" w:color="auto"/>
        <w:right w:val="none" w:sz="0" w:space="0" w:color="auto"/>
      </w:divBdr>
    </w:div>
    <w:div w:id="626087005">
      <w:bodyDiv w:val="1"/>
      <w:marLeft w:val="0"/>
      <w:marRight w:val="0"/>
      <w:marTop w:val="0"/>
      <w:marBottom w:val="0"/>
      <w:divBdr>
        <w:top w:val="none" w:sz="0" w:space="0" w:color="auto"/>
        <w:left w:val="none" w:sz="0" w:space="0" w:color="auto"/>
        <w:bottom w:val="none" w:sz="0" w:space="0" w:color="auto"/>
        <w:right w:val="none" w:sz="0" w:space="0" w:color="auto"/>
      </w:divBdr>
    </w:div>
    <w:div w:id="645864230">
      <w:bodyDiv w:val="1"/>
      <w:marLeft w:val="0"/>
      <w:marRight w:val="0"/>
      <w:marTop w:val="0"/>
      <w:marBottom w:val="0"/>
      <w:divBdr>
        <w:top w:val="none" w:sz="0" w:space="0" w:color="auto"/>
        <w:left w:val="none" w:sz="0" w:space="0" w:color="auto"/>
        <w:bottom w:val="none" w:sz="0" w:space="0" w:color="auto"/>
        <w:right w:val="none" w:sz="0" w:space="0" w:color="auto"/>
      </w:divBdr>
    </w:div>
    <w:div w:id="677542889">
      <w:bodyDiv w:val="1"/>
      <w:marLeft w:val="0"/>
      <w:marRight w:val="0"/>
      <w:marTop w:val="0"/>
      <w:marBottom w:val="0"/>
      <w:divBdr>
        <w:top w:val="none" w:sz="0" w:space="0" w:color="auto"/>
        <w:left w:val="none" w:sz="0" w:space="0" w:color="auto"/>
        <w:bottom w:val="none" w:sz="0" w:space="0" w:color="auto"/>
        <w:right w:val="none" w:sz="0" w:space="0" w:color="auto"/>
      </w:divBdr>
    </w:div>
    <w:div w:id="810096979">
      <w:bodyDiv w:val="1"/>
      <w:marLeft w:val="0"/>
      <w:marRight w:val="0"/>
      <w:marTop w:val="0"/>
      <w:marBottom w:val="0"/>
      <w:divBdr>
        <w:top w:val="none" w:sz="0" w:space="0" w:color="auto"/>
        <w:left w:val="none" w:sz="0" w:space="0" w:color="auto"/>
        <w:bottom w:val="none" w:sz="0" w:space="0" w:color="auto"/>
        <w:right w:val="none" w:sz="0" w:space="0" w:color="auto"/>
      </w:divBdr>
    </w:div>
    <w:div w:id="912736630">
      <w:bodyDiv w:val="1"/>
      <w:marLeft w:val="0"/>
      <w:marRight w:val="0"/>
      <w:marTop w:val="0"/>
      <w:marBottom w:val="0"/>
      <w:divBdr>
        <w:top w:val="none" w:sz="0" w:space="0" w:color="auto"/>
        <w:left w:val="none" w:sz="0" w:space="0" w:color="auto"/>
        <w:bottom w:val="none" w:sz="0" w:space="0" w:color="auto"/>
        <w:right w:val="none" w:sz="0" w:space="0" w:color="auto"/>
      </w:divBdr>
    </w:div>
    <w:div w:id="970945027">
      <w:bodyDiv w:val="1"/>
      <w:marLeft w:val="0"/>
      <w:marRight w:val="0"/>
      <w:marTop w:val="0"/>
      <w:marBottom w:val="0"/>
      <w:divBdr>
        <w:top w:val="none" w:sz="0" w:space="0" w:color="auto"/>
        <w:left w:val="none" w:sz="0" w:space="0" w:color="auto"/>
        <w:bottom w:val="none" w:sz="0" w:space="0" w:color="auto"/>
        <w:right w:val="none" w:sz="0" w:space="0" w:color="auto"/>
      </w:divBdr>
    </w:div>
    <w:div w:id="1003163394">
      <w:bodyDiv w:val="1"/>
      <w:marLeft w:val="0"/>
      <w:marRight w:val="0"/>
      <w:marTop w:val="0"/>
      <w:marBottom w:val="0"/>
      <w:divBdr>
        <w:top w:val="none" w:sz="0" w:space="0" w:color="auto"/>
        <w:left w:val="none" w:sz="0" w:space="0" w:color="auto"/>
        <w:bottom w:val="none" w:sz="0" w:space="0" w:color="auto"/>
        <w:right w:val="none" w:sz="0" w:space="0" w:color="auto"/>
      </w:divBdr>
    </w:div>
    <w:div w:id="1081567730">
      <w:bodyDiv w:val="1"/>
      <w:marLeft w:val="0"/>
      <w:marRight w:val="0"/>
      <w:marTop w:val="0"/>
      <w:marBottom w:val="0"/>
      <w:divBdr>
        <w:top w:val="none" w:sz="0" w:space="0" w:color="auto"/>
        <w:left w:val="none" w:sz="0" w:space="0" w:color="auto"/>
        <w:bottom w:val="none" w:sz="0" w:space="0" w:color="auto"/>
        <w:right w:val="none" w:sz="0" w:space="0" w:color="auto"/>
      </w:divBdr>
    </w:div>
    <w:div w:id="1103381361">
      <w:bodyDiv w:val="1"/>
      <w:marLeft w:val="0"/>
      <w:marRight w:val="0"/>
      <w:marTop w:val="0"/>
      <w:marBottom w:val="0"/>
      <w:divBdr>
        <w:top w:val="none" w:sz="0" w:space="0" w:color="auto"/>
        <w:left w:val="none" w:sz="0" w:space="0" w:color="auto"/>
        <w:bottom w:val="none" w:sz="0" w:space="0" w:color="auto"/>
        <w:right w:val="none" w:sz="0" w:space="0" w:color="auto"/>
      </w:divBdr>
    </w:div>
    <w:div w:id="1113137784">
      <w:bodyDiv w:val="1"/>
      <w:marLeft w:val="0"/>
      <w:marRight w:val="0"/>
      <w:marTop w:val="0"/>
      <w:marBottom w:val="0"/>
      <w:divBdr>
        <w:top w:val="none" w:sz="0" w:space="0" w:color="auto"/>
        <w:left w:val="none" w:sz="0" w:space="0" w:color="auto"/>
        <w:bottom w:val="none" w:sz="0" w:space="0" w:color="auto"/>
        <w:right w:val="none" w:sz="0" w:space="0" w:color="auto"/>
      </w:divBdr>
    </w:div>
    <w:div w:id="1195071989">
      <w:bodyDiv w:val="1"/>
      <w:marLeft w:val="0"/>
      <w:marRight w:val="0"/>
      <w:marTop w:val="0"/>
      <w:marBottom w:val="0"/>
      <w:divBdr>
        <w:top w:val="none" w:sz="0" w:space="0" w:color="auto"/>
        <w:left w:val="none" w:sz="0" w:space="0" w:color="auto"/>
        <w:bottom w:val="none" w:sz="0" w:space="0" w:color="auto"/>
        <w:right w:val="none" w:sz="0" w:space="0" w:color="auto"/>
      </w:divBdr>
    </w:div>
    <w:div w:id="1244294099">
      <w:bodyDiv w:val="1"/>
      <w:marLeft w:val="0"/>
      <w:marRight w:val="0"/>
      <w:marTop w:val="0"/>
      <w:marBottom w:val="0"/>
      <w:divBdr>
        <w:top w:val="none" w:sz="0" w:space="0" w:color="auto"/>
        <w:left w:val="none" w:sz="0" w:space="0" w:color="auto"/>
        <w:bottom w:val="none" w:sz="0" w:space="0" w:color="auto"/>
        <w:right w:val="none" w:sz="0" w:space="0" w:color="auto"/>
      </w:divBdr>
    </w:div>
    <w:div w:id="1257056649">
      <w:bodyDiv w:val="1"/>
      <w:marLeft w:val="0"/>
      <w:marRight w:val="0"/>
      <w:marTop w:val="0"/>
      <w:marBottom w:val="0"/>
      <w:divBdr>
        <w:top w:val="none" w:sz="0" w:space="0" w:color="auto"/>
        <w:left w:val="none" w:sz="0" w:space="0" w:color="auto"/>
        <w:bottom w:val="none" w:sz="0" w:space="0" w:color="auto"/>
        <w:right w:val="none" w:sz="0" w:space="0" w:color="auto"/>
      </w:divBdr>
    </w:div>
    <w:div w:id="1334379621">
      <w:bodyDiv w:val="1"/>
      <w:marLeft w:val="0"/>
      <w:marRight w:val="0"/>
      <w:marTop w:val="0"/>
      <w:marBottom w:val="0"/>
      <w:divBdr>
        <w:top w:val="none" w:sz="0" w:space="0" w:color="auto"/>
        <w:left w:val="none" w:sz="0" w:space="0" w:color="auto"/>
        <w:bottom w:val="none" w:sz="0" w:space="0" w:color="auto"/>
        <w:right w:val="none" w:sz="0" w:space="0" w:color="auto"/>
      </w:divBdr>
    </w:div>
    <w:div w:id="1397361957">
      <w:bodyDiv w:val="1"/>
      <w:marLeft w:val="0"/>
      <w:marRight w:val="0"/>
      <w:marTop w:val="0"/>
      <w:marBottom w:val="0"/>
      <w:divBdr>
        <w:top w:val="none" w:sz="0" w:space="0" w:color="auto"/>
        <w:left w:val="none" w:sz="0" w:space="0" w:color="auto"/>
        <w:bottom w:val="none" w:sz="0" w:space="0" w:color="auto"/>
        <w:right w:val="none" w:sz="0" w:space="0" w:color="auto"/>
      </w:divBdr>
    </w:div>
    <w:div w:id="1438525900">
      <w:bodyDiv w:val="1"/>
      <w:marLeft w:val="0"/>
      <w:marRight w:val="0"/>
      <w:marTop w:val="0"/>
      <w:marBottom w:val="0"/>
      <w:divBdr>
        <w:top w:val="none" w:sz="0" w:space="0" w:color="auto"/>
        <w:left w:val="none" w:sz="0" w:space="0" w:color="auto"/>
        <w:bottom w:val="none" w:sz="0" w:space="0" w:color="auto"/>
        <w:right w:val="none" w:sz="0" w:space="0" w:color="auto"/>
      </w:divBdr>
    </w:div>
    <w:div w:id="1495074649">
      <w:bodyDiv w:val="1"/>
      <w:marLeft w:val="0"/>
      <w:marRight w:val="0"/>
      <w:marTop w:val="0"/>
      <w:marBottom w:val="0"/>
      <w:divBdr>
        <w:top w:val="none" w:sz="0" w:space="0" w:color="auto"/>
        <w:left w:val="none" w:sz="0" w:space="0" w:color="auto"/>
        <w:bottom w:val="none" w:sz="0" w:space="0" w:color="auto"/>
        <w:right w:val="none" w:sz="0" w:space="0" w:color="auto"/>
      </w:divBdr>
    </w:div>
    <w:div w:id="1515538732">
      <w:bodyDiv w:val="1"/>
      <w:marLeft w:val="0"/>
      <w:marRight w:val="0"/>
      <w:marTop w:val="0"/>
      <w:marBottom w:val="0"/>
      <w:divBdr>
        <w:top w:val="none" w:sz="0" w:space="0" w:color="auto"/>
        <w:left w:val="none" w:sz="0" w:space="0" w:color="auto"/>
        <w:bottom w:val="none" w:sz="0" w:space="0" w:color="auto"/>
        <w:right w:val="none" w:sz="0" w:space="0" w:color="auto"/>
      </w:divBdr>
    </w:div>
    <w:div w:id="1527329532">
      <w:bodyDiv w:val="1"/>
      <w:marLeft w:val="0"/>
      <w:marRight w:val="0"/>
      <w:marTop w:val="0"/>
      <w:marBottom w:val="0"/>
      <w:divBdr>
        <w:top w:val="none" w:sz="0" w:space="0" w:color="auto"/>
        <w:left w:val="none" w:sz="0" w:space="0" w:color="auto"/>
        <w:bottom w:val="none" w:sz="0" w:space="0" w:color="auto"/>
        <w:right w:val="none" w:sz="0" w:space="0" w:color="auto"/>
      </w:divBdr>
    </w:div>
    <w:div w:id="1662730860">
      <w:bodyDiv w:val="1"/>
      <w:marLeft w:val="0"/>
      <w:marRight w:val="0"/>
      <w:marTop w:val="0"/>
      <w:marBottom w:val="0"/>
      <w:divBdr>
        <w:top w:val="none" w:sz="0" w:space="0" w:color="auto"/>
        <w:left w:val="none" w:sz="0" w:space="0" w:color="auto"/>
        <w:bottom w:val="none" w:sz="0" w:space="0" w:color="auto"/>
        <w:right w:val="none" w:sz="0" w:space="0" w:color="auto"/>
      </w:divBdr>
    </w:div>
    <w:div w:id="1768305484">
      <w:bodyDiv w:val="1"/>
      <w:marLeft w:val="0"/>
      <w:marRight w:val="0"/>
      <w:marTop w:val="0"/>
      <w:marBottom w:val="0"/>
      <w:divBdr>
        <w:top w:val="none" w:sz="0" w:space="0" w:color="auto"/>
        <w:left w:val="none" w:sz="0" w:space="0" w:color="auto"/>
        <w:bottom w:val="none" w:sz="0" w:space="0" w:color="auto"/>
        <w:right w:val="none" w:sz="0" w:space="0" w:color="auto"/>
      </w:divBdr>
      <w:divsChild>
        <w:div w:id="1514031719">
          <w:marLeft w:val="0"/>
          <w:marRight w:val="0"/>
          <w:marTop w:val="0"/>
          <w:marBottom w:val="0"/>
          <w:divBdr>
            <w:top w:val="none" w:sz="0" w:space="0" w:color="auto"/>
            <w:left w:val="none" w:sz="0" w:space="0" w:color="auto"/>
            <w:bottom w:val="none" w:sz="0" w:space="0" w:color="auto"/>
            <w:right w:val="none" w:sz="0" w:space="0" w:color="auto"/>
          </w:divBdr>
          <w:divsChild>
            <w:div w:id="781606524">
              <w:marLeft w:val="0"/>
              <w:marRight w:val="0"/>
              <w:marTop w:val="0"/>
              <w:marBottom w:val="0"/>
              <w:divBdr>
                <w:top w:val="none" w:sz="0" w:space="0" w:color="auto"/>
                <w:left w:val="none" w:sz="0" w:space="0" w:color="auto"/>
                <w:bottom w:val="none" w:sz="0" w:space="0" w:color="auto"/>
                <w:right w:val="none" w:sz="0" w:space="0" w:color="auto"/>
              </w:divBdr>
              <w:divsChild>
                <w:div w:id="8636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5647">
      <w:bodyDiv w:val="1"/>
      <w:marLeft w:val="0"/>
      <w:marRight w:val="0"/>
      <w:marTop w:val="0"/>
      <w:marBottom w:val="0"/>
      <w:divBdr>
        <w:top w:val="none" w:sz="0" w:space="0" w:color="auto"/>
        <w:left w:val="none" w:sz="0" w:space="0" w:color="auto"/>
        <w:bottom w:val="none" w:sz="0" w:space="0" w:color="auto"/>
        <w:right w:val="none" w:sz="0" w:space="0" w:color="auto"/>
      </w:divBdr>
    </w:div>
    <w:div w:id="1795054182">
      <w:bodyDiv w:val="1"/>
      <w:marLeft w:val="0"/>
      <w:marRight w:val="0"/>
      <w:marTop w:val="0"/>
      <w:marBottom w:val="0"/>
      <w:divBdr>
        <w:top w:val="none" w:sz="0" w:space="0" w:color="auto"/>
        <w:left w:val="none" w:sz="0" w:space="0" w:color="auto"/>
        <w:bottom w:val="none" w:sz="0" w:space="0" w:color="auto"/>
        <w:right w:val="none" w:sz="0" w:space="0" w:color="auto"/>
      </w:divBdr>
    </w:div>
    <w:div w:id="1875534810">
      <w:bodyDiv w:val="1"/>
      <w:marLeft w:val="0"/>
      <w:marRight w:val="0"/>
      <w:marTop w:val="0"/>
      <w:marBottom w:val="0"/>
      <w:divBdr>
        <w:top w:val="none" w:sz="0" w:space="0" w:color="auto"/>
        <w:left w:val="none" w:sz="0" w:space="0" w:color="auto"/>
        <w:bottom w:val="none" w:sz="0" w:space="0" w:color="auto"/>
        <w:right w:val="none" w:sz="0" w:space="0" w:color="auto"/>
      </w:divBdr>
    </w:div>
    <w:div w:id="1904753528">
      <w:bodyDiv w:val="1"/>
      <w:marLeft w:val="0"/>
      <w:marRight w:val="0"/>
      <w:marTop w:val="0"/>
      <w:marBottom w:val="0"/>
      <w:divBdr>
        <w:top w:val="none" w:sz="0" w:space="0" w:color="auto"/>
        <w:left w:val="none" w:sz="0" w:space="0" w:color="auto"/>
        <w:bottom w:val="none" w:sz="0" w:space="0" w:color="auto"/>
        <w:right w:val="none" w:sz="0" w:space="0" w:color="auto"/>
      </w:divBdr>
    </w:div>
    <w:div w:id="2009021755">
      <w:bodyDiv w:val="1"/>
      <w:marLeft w:val="0"/>
      <w:marRight w:val="0"/>
      <w:marTop w:val="0"/>
      <w:marBottom w:val="0"/>
      <w:divBdr>
        <w:top w:val="none" w:sz="0" w:space="0" w:color="auto"/>
        <w:left w:val="none" w:sz="0" w:space="0" w:color="auto"/>
        <w:bottom w:val="none" w:sz="0" w:space="0" w:color="auto"/>
        <w:right w:val="none" w:sz="0" w:space="0" w:color="auto"/>
      </w:divBdr>
    </w:div>
    <w:div w:id="2097510373">
      <w:bodyDiv w:val="1"/>
      <w:marLeft w:val="0"/>
      <w:marRight w:val="0"/>
      <w:marTop w:val="0"/>
      <w:marBottom w:val="0"/>
      <w:divBdr>
        <w:top w:val="none" w:sz="0" w:space="0" w:color="auto"/>
        <w:left w:val="none" w:sz="0" w:space="0" w:color="auto"/>
        <w:bottom w:val="none" w:sz="0" w:space="0" w:color="auto"/>
        <w:right w:val="none" w:sz="0" w:space="0" w:color="auto"/>
      </w:divBdr>
      <w:divsChild>
        <w:div w:id="1042174748">
          <w:marLeft w:val="0"/>
          <w:marRight w:val="0"/>
          <w:marTop w:val="0"/>
          <w:marBottom w:val="0"/>
          <w:divBdr>
            <w:top w:val="none" w:sz="0" w:space="0" w:color="auto"/>
            <w:left w:val="none" w:sz="0" w:space="0" w:color="auto"/>
            <w:bottom w:val="none" w:sz="0" w:space="0" w:color="auto"/>
            <w:right w:val="none" w:sz="0" w:space="0" w:color="auto"/>
          </w:divBdr>
          <w:divsChild>
            <w:div w:id="1153335250">
              <w:marLeft w:val="0"/>
              <w:marRight w:val="0"/>
              <w:marTop w:val="0"/>
              <w:marBottom w:val="0"/>
              <w:divBdr>
                <w:top w:val="none" w:sz="0" w:space="0" w:color="auto"/>
                <w:left w:val="none" w:sz="0" w:space="0" w:color="auto"/>
                <w:bottom w:val="none" w:sz="0" w:space="0" w:color="auto"/>
                <w:right w:val="none" w:sz="0" w:space="0" w:color="auto"/>
              </w:divBdr>
              <w:divsChild>
                <w:div w:id="1617102129">
                  <w:marLeft w:val="0"/>
                  <w:marRight w:val="0"/>
                  <w:marTop w:val="0"/>
                  <w:marBottom w:val="0"/>
                  <w:divBdr>
                    <w:top w:val="none" w:sz="0" w:space="0" w:color="auto"/>
                    <w:left w:val="none" w:sz="0" w:space="0" w:color="auto"/>
                    <w:bottom w:val="none" w:sz="0" w:space="0" w:color="auto"/>
                    <w:right w:val="none" w:sz="0" w:space="0" w:color="auto"/>
                  </w:divBdr>
                  <w:divsChild>
                    <w:div w:id="186420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gov.il/he/Departments/policies/des3709_2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echpolicy.org.il" TargetMode="External"/><Relationship Id="rId1" Type="http://schemas.openxmlformats.org/officeDocument/2006/relationships/hyperlink" Target="mailto:info@techpolicy.org.i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futureoflife.org/ai-principles/?cn-reloaded=1" TargetMode="External"/><Relationship Id="rId3" Type="http://schemas.openxmlformats.org/officeDocument/2006/relationships/hyperlink" Target="https://iapp.org/" TargetMode="External"/><Relationship Id="rId7" Type="http://schemas.openxmlformats.org/officeDocument/2006/relationships/hyperlink" Target="https://www.tellerreport.com/news/2019-06-08---meeting-in-japanese-tsukuba--g20-agree-on-principles-of-artificial-intelligence-.SylfYaIKCV.html" TargetMode="External"/><Relationship Id="rId2" Type="http://schemas.openxmlformats.org/officeDocument/2006/relationships/hyperlink" Target="https://www.tripwire.com/state-of-security/healthcare/privacy-law-healthcare/" TargetMode="External"/><Relationship Id="rId1" Type="http://schemas.openxmlformats.org/officeDocument/2006/relationships/hyperlink" Target="https://www.mckinsey.com/~/media/mckinsey/business%20functions/mckinsey%20digital/our%20insights/big%20data%20the%20next%20frontier%20for%20innovation/mgi_big_data_exec_summary.ashx" TargetMode="External"/><Relationship Id="rId6" Type="http://schemas.openxmlformats.org/officeDocument/2006/relationships/hyperlink" Target="https://www.defense.gov/explore/story/Article/2006646/defense-innovation-board-recommends-ai-ethical-guidelines/" TargetMode="External"/><Relationship Id="rId5" Type="http://schemas.openxmlformats.org/officeDocument/2006/relationships/hyperlink" Target="http://ekarine.org/heb/wp-content/pubs/AIEthicsRegulationReport-hebrew.pdf" TargetMode="External"/><Relationship Id="rId10" Type="http://schemas.openxmlformats.org/officeDocument/2006/relationships/hyperlink" Target="https://www.health.gov.il/hozer/DR_14.pdf" TargetMode="External"/><Relationship Id="rId4" Type="http://schemas.openxmlformats.org/officeDocument/2006/relationships/hyperlink" Target="https://iab.org/wp-content/IAB-uploads/2011/03/fred_carter.pdf" TargetMode="External"/><Relationship Id="rId9" Type="http://schemas.openxmlformats.org/officeDocument/2006/relationships/hyperlink" Target="https://ai.google/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4A8B0-FA1B-8345-853E-6A488FB9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4861</Words>
  <Characters>27713</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Amdocs</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 Radzi</dc:creator>
  <cp:keywords/>
  <cp:lastModifiedBy>Limor Shmerling Magazanik</cp:lastModifiedBy>
  <cp:revision>21</cp:revision>
  <cp:lastPrinted>2019-10-02T05:37:00Z</cp:lastPrinted>
  <dcterms:created xsi:type="dcterms:W3CDTF">2020-01-06T12:49:00Z</dcterms:created>
  <dcterms:modified xsi:type="dcterms:W3CDTF">2020-01-06T15:37:00Z</dcterms:modified>
</cp:coreProperties>
</file>